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A70" w:rsidRDefault="00FF7A70" w:rsidP="00FF7A70">
      <w:pPr>
        <w:rPr>
          <w:rFonts w:asciiTheme="minorHAnsi" w:hAnsiTheme="minorHAnsi"/>
          <w:b/>
        </w:rPr>
      </w:pPr>
      <w:r>
        <w:rPr>
          <w:rFonts w:asciiTheme="minorHAnsi" w:hAnsiTheme="minorHAnsi"/>
          <w:b/>
          <w:u w:val="single"/>
        </w:rPr>
        <w:t>09, REDES 02, COSTO DE DISTRIBUCIÓN</w:t>
      </w:r>
    </w:p>
    <w:p w:rsidR="00FF7A70" w:rsidRDefault="00FF7A70" w:rsidP="00FF7A70">
      <w:pPr>
        <w:numPr>
          <w:ilvl w:val="12"/>
          <w:numId w:val="0"/>
        </w:numPr>
        <w:ind w:left="283" w:hanging="283"/>
        <w:rPr>
          <w:rFonts w:asciiTheme="minorHAnsi" w:hAnsiTheme="minorHAnsi"/>
          <w:b/>
          <w:szCs w:val="24"/>
        </w:rPr>
      </w:pPr>
    </w:p>
    <w:p w:rsidR="00FF7A70" w:rsidRPr="00FF7A70" w:rsidRDefault="00FF7A70" w:rsidP="00FF7A70">
      <w:pPr>
        <w:numPr>
          <w:ilvl w:val="12"/>
          <w:numId w:val="0"/>
        </w:numPr>
        <w:ind w:left="283" w:hanging="283"/>
        <w:rPr>
          <w:rFonts w:asciiTheme="minorHAnsi" w:hAnsiTheme="minorHAnsi"/>
          <w:b/>
          <w:sz w:val="22"/>
          <w:szCs w:val="22"/>
        </w:rPr>
      </w:pPr>
      <w:r w:rsidRPr="00FF7A70">
        <w:rPr>
          <w:rFonts w:asciiTheme="minorHAnsi" w:hAnsiTheme="minorHAnsi"/>
          <w:b/>
          <w:sz w:val="22"/>
          <w:szCs w:val="22"/>
        </w:rPr>
        <w:t>1.- objetivo</w:t>
      </w:r>
    </w:p>
    <w:p w:rsidR="00FF7A70" w:rsidRPr="00FF7A70" w:rsidRDefault="00FF7A70" w:rsidP="00FF7A70">
      <w:pPr>
        <w:rPr>
          <w:rFonts w:asciiTheme="minorHAnsi" w:hAnsiTheme="minorHAnsi"/>
          <w:sz w:val="22"/>
          <w:szCs w:val="22"/>
        </w:rPr>
      </w:pPr>
      <w:r w:rsidRPr="00FF7A70">
        <w:rPr>
          <w:rFonts w:asciiTheme="minorHAnsi" w:hAnsiTheme="minorHAnsi"/>
          <w:sz w:val="22"/>
          <w:szCs w:val="22"/>
        </w:rPr>
        <w:t>Utilización de Excel como herramienta de análisis logístico.</w:t>
      </w:r>
    </w:p>
    <w:p w:rsidR="00FF7A70" w:rsidRPr="00FF7A70" w:rsidRDefault="00FF7A70" w:rsidP="00FF7A70">
      <w:pPr>
        <w:rPr>
          <w:rFonts w:asciiTheme="minorHAnsi" w:hAnsiTheme="minorHAnsi"/>
          <w:b/>
          <w:bCs/>
          <w:sz w:val="22"/>
          <w:szCs w:val="22"/>
          <w:u w:val="single"/>
        </w:rPr>
      </w:pPr>
      <w:r w:rsidRPr="00FF7A70">
        <w:rPr>
          <w:rFonts w:asciiTheme="minorHAnsi" w:hAnsiTheme="minorHAnsi"/>
          <w:sz w:val="22"/>
          <w:szCs w:val="22"/>
        </w:rPr>
        <w:t>Determinación del costo tradicional  y del costo de oportunidad :</w:t>
      </w:r>
    </w:p>
    <w:p w:rsidR="00FF7A70" w:rsidRPr="00FF7A70" w:rsidRDefault="00FF7A70" w:rsidP="00FF7A70">
      <w:pPr>
        <w:ind w:left="708"/>
        <w:rPr>
          <w:rFonts w:asciiTheme="minorHAnsi" w:hAnsiTheme="minorHAnsi"/>
          <w:sz w:val="22"/>
          <w:szCs w:val="22"/>
        </w:rPr>
      </w:pPr>
      <w:r w:rsidRPr="00FF7A70">
        <w:rPr>
          <w:rFonts w:asciiTheme="minorHAnsi" w:hAnsiTheme="minorHAnsi"/>
          <w:sz w:val="22"/>
          <w:szCs w:val="22"/>
        </w:rPr>
        <w:t>s/ producto</w:t>
      </w:r>
    </w:p>
    <w:p w:rsidR="00FF7A70" w:rsidRPr="00FF7A70" w:rsidRDefault="00FF7A70" w:rsidP="00FF7A70">
      <w:pPr>
        <w:ind w:left="708"/>
        <w:rPr>
          <w:rFonts w:asciiTheme="minorHAnsi" w:hAnsiTheme="minorHAnsi"/>
          <w:sz w:val="22"/>
          <w:szCs w:val="22"/>
        </w:rPr>
      </w:pPr>
      <w:r w:rsidRPr="00FF7A70">
        <w:rPr>
          <w:rFonts w:asciiTheme="minorHAnsi" w:hAnsiTheme="minorHAnsi"/>
          <w:sz w:val="22"/>
          <w:szCs w:val="22"/>
        </w:rPr>
        <w:t>s/ cliente</w:t>
      </w:r>
    </w:p>
    <w:p w:rsidR="00FF7A70" w:rsidRPr="00FF7A70" w:rsidRDefault="00FF7A70" w:rsidP="00FF7A70">
      <w:pPr>
        <w:rPr>
          <w:rFonts w:asciiTheme="minorHAnsi" w:hAnsiTheme="minorHAnsi"/>
          <w:b/>
          <w:bCs/>
          <w:sz w:val="22"/>
          <w:szCs w:val="22"/>
          <w:u w:val="single"/>
        </w:rPr>
      </w:pPr>
      <w:r w:rsidRPr="00FF7A70">
        <w:rPr>
          <w:rFonts w:asciiTheme="minorHAnsi" w:hAnsiTheme="minorHAnsi"/>
          <w:sz w:val="22"/>
          <w:szCs w:val="22"/>
        </w:rPr>
        <w:t xml:space="preserve">Determinación del margen </w:t>
      </w:r>
    </w:p>
    <w:p w:rsidR="00FF7A70" w:rsidRPr="00FF7A70" w:rsidRDefault="00FF7A70" w:rsidP="00FF7A70">
      <w:pPr>
        <w:ind w:left="708"/>
        <w:rPr>
          <w:rFonts w:asciiTheme="minorHAnsi" w:hAnsiTheme="minorHAnsi"/>
          <w:sz w:val="22"/>
          <w:szCs w:val="22"/>
        </w:rPr>
      </w:pPr>
      <w:r w:rsidRPr="00FF7A70">
        <w:rPr>
          <w:rFonts w:asciiTheme="minorHAnsi" w:hAnsiTheme="minorHAnsi"/>
          <w:sz w:val="22"/>
          <w:szCs w:val="22"/>
        </w:rPr>
        <w:t xml:space="preserve"> s/ tipo de contabilidad </w:t>
      </w:r>
    </w:p>
    <w:p w:rsidR="00FF7A70" w:rsidRPr="00FF7A70" w:rsidRDefault="00FF7A70" w:rsidP="00FF7A70">
      <w:pPr>
        <w:ind w:left="708"/>
        <w:rPr>
          <w:rFonts w:asciiTheme="minorHAnsi" w:hAnsiTheme="minorHAnsi"/>
          <w:sz w:val="22"/>
          <w:szCs w:val="22"/>
        </w:rPr>
      </w:pPr>
      <w:r w:rsidRPr="00FF7A70">
        <w:rPr>
          <w:rFonts w:asciiTheme="minorHAnsi" w:hAnsiTheme="minorHAnsi"/>
          <w:sz w:val="22"/>
          <w:szCs w:val="22"/>
        </w:rPr>
        <w:t>s/ cliente</w:t>
      </w:r>
    </w:p>
    <w:p w:rsidR="00FF7A70" w:rsidRPr="00FF7A70" w:rsidRDefault="00FF7A70" w:rsidP="00FF7A70">
      <w:pPr>
        <w:numPr>
          <w:ilvl w:val="12"/>
          <w:numId w:val="0"/>
        </w:numPr>
        <w:ind w:hanging="283"/>
        <w:rPr>
          <w:rFonts w:asciiTheme="minorHAnsi" w:hAnsiTheme="minorHAnsi"/>
          <w:b/>
          <w:sz w:val="22"/>
          <w:szCs w:val="22"/>
          <w:u w:val="single"/>
        </w:rPr>
      </w:pPr>
    </w:p>
    <w:p w:rsidR="00FF7A70" w:rsidRPr="00FF7A70" w:rsidRDefault="00FF7A70" w:rsidP="00FF7A70">
      <w:pPr>
        <w:numPr>
          <w:ilvl w:val="12"/>
          <w:numId w:val="0"/>
        </w:numPr>
        <w:ind w:left="283" w:hanging="283"/>
        <w:rPr>
          <w:rFonts w:asciiTheme="minorHAnsi" w:hAnsiTheme="minorHAnsi"/>
          <w:b/>
          <w:sz w:val="22"/>
          <w:szCs w:val="22"/>
        </w:rPr>
      </w:pPr>
      <w:r w:rsidRPr="00FF7A70">
        <w:rPr>
          <w:rFonts w:asciiTheme="minorHAnsi" w:hAnsiTheme="minorHAnsi"/>
          <w:b/>
          <w:sz w:val="22"/>
          <w:szCs w:val="22"/>
        </w:rPr>
        <w:t>2.- descripción</w:t>
      </w:r>
    </w:p>
    <w:p w:rsidR="00FF7A70" w:rsidRPr="00FF7A70" w:rsidRDefault="00FF7A70" w:rsidP="00FF7A70">
      <w:pPr>
        <w:rPr>
          <w:rFonts w:asciiTheme="minorHAnsi" w:hAnsiTheme="minorHAnsi"/>
          <w:sz w:val="22"/>
          <w:szCs w:val="22"/>
        </w:rPr>
      </w:pPr>
      <w:r w:rsidRPr="00FF7A70">
        <w:rPr>
          <w:rFonts w:asciiTheme="minorHAnsi" w:hAnsiTheme="minorHAnsi"/>
          <w:sz w:val="22"/>
          <w:szCs w:val="22"/>
        </w:rPr>
        <w:t>La empresa industrial PINTURAS DEL SIGLO XXI S.A. dispone de un almacén regulador en Valladolid asociado a fábrica con una superficie total de 10.000 m</w:t>
      </w:r>
      <w:r w:rsidRPr="00FF7A70">
        <w:rPr>
          <w:rFonts w:asciiTheme="minorHAnsi" w:hAnsiTheme="minorHAnsi"/>
          <w:sz w:val="22"/>
          <w:szCs w:val="22"/>
          <w:vertAlign w:val="superscript"/>
        </w:rPr>
        <w:t>2</w:t>
      </w:r>
      <w:r w:rsidRPr="00FF7A70">
        <w:rPr>
          <w:rFonts w:asciiTheme="minorHAnsi" w:hAnsiTheme="minorHAnsi"/>
          <w:sz w:val="22"/>
          <w:szCs w:val="22"/>
        </w:rPr>
        <w:t xml:space="preserve"> y una superficie construida de 8.000 m</w:t>
      </w:r>
      <w:r w:rsidRPr="00FF7A70">
        <w:rPr>
          <w:rFonts w:asciiTheme="minorHAnsi" w:hAnsiTheme="minorHAnsi"/>
          <w:sz w:val="22"/>
          <w:szCs w:val="22"/>
          <w:vertAlign w:val="superscript"/>
        </w:rPr>
        <w:t>2</w:t>
      </w:r>
      <w:r w:rsidRPr="00FF7A70">
        <w:rPr>
          <w:rFonts w:asciiTheme="minorHAnsi" w:hAnsiTheme="minorHAnsi"/>
          <w:sz w:val="22"/>
          <w:szCs w:val="22"/>
        </w:rPr>
        <w:t xml:space="preserve">. </w:t>
      </w:r>
    </w:p>
    <w:p w:rsidR="00FF7A70" w:rsidRPr="00FF7A70" w:rsidRDefault="00FF7A70" w:rsidP="00FF7A70">
      <w:pPr>
        <w:rPr>
          <w:rFonts w:asciiTheme="minorHAnsi" w:hAnsiTheme="minorHAnsi"/>
          <w:i/>
          <w:sz w:val="22"/>
          <w:szCs w:val="22"/>
          <w:u w:val="single"/>
        </w:rPr>
      </w:pPr>
      <w:r w:rsidRPr="00FF7A70">
        <w:rPr>
          <w:rFonts w:asciiTheme="minorHAnsi" w:hAnsiTheme="minorHAnsi"/>
          <w:bCs/>
          <w:i/>
          <w:sz w:val="22"/>
          <w:szCs w:val="22"/>
          <w:u w:val="single"/>
        </w:rPr>
        <w:t>envase y embalaje</w:t>
      </w:r>
    </w:p>
    <w:p w:rsidR="00FF7A70" w:rsidRPr="00FF7A70" w:rsidRDefault="00FF7A70" w:rsidP="00FF7A70">
      <w:pPr>
        <w:rPr>
          <w:rFonts w:asciiTheme="minorHAnsi" w:hAnsiTheme="minorHAnsi"/>
          <w:sz w:val="22"/>
          <w:szCs w:val="22"/>
        </w:rPr>
      </w:pPr>
      <w:r w:rsidRPr="00FF7A70">
        <w:rPr>
          <w:rFonts w:asciiTheme="minorHAnsi" w:hAnsiTheme="minorHAnsi"/>
          <w:sz w:val="22"/>
          <w:szCs w:val="22"/>
        </w:rPr>
        <w:t xml:space="preserve">Almacena el producto en palets monorreferencia de aproximadamente 800 kilos netos, no importa qué tipo de bote sea. </w:t>
      </w:r>
    </w:p>
    <w:p w:rsidR="00FF7A70" w:rsidRPr="00FF7A70" w:rsidRDefault="00FF7A70" w:rsidP="00FF7A70">
      <w:pPr>
        <w:rPr>
          <w:rFonts w:asciiTheme="minorHAnsi" w:hAnsiTheme="minorHAnsi"/>
          <w:sz w:val="22"/>
          <w:szCs w:val="22"/>
        </w:rPr>
      </w:pPr>
      <w:r w:rsidRPr="00FF7A70">
        <w:rPr>
          <w:rFonts w:asciiTheme="minorHAnsi" w:hAnsiTheme="minorHAnsi"/>
          <w:sz w:val="22"/>
          <w:szCs w:val="22"/>
        </w:rPr>
        <w:t>La caja, que contiene una serie de botes – nunca vende botes sueltos – tiene un peso promedio de 6 kilos y un peso máximo de 25 kilos.</w:t>
      </w:r>
    </w:p>
    <w:p w:rsidR="00FF7A70" w:rsidRPr="00FF7A70" w:rsidRDefault="00FF7A70" w:rsidP="00FF7A70">
      <w:pPr>
        <w:rPr>
          <w:rFonts w:asciiTheme="minorHAnsi" w:hAnsiTheme="minorHAnsi"/>
          <w:sz w:val="22"/>
          <w:szCs w:val="22"/>
        </w:rPr>
      </w:pPr>
      <w:r w:rsidRPr="00FF7A70">
        <w:rPr>
          <w:rFonts w:asciiTheme="minorHAnsi" w:hAnsiTheme="minorHAnsi"/>
          <w:sz w:val="22"/>
          <w:szCs w:val="22"/>
        </w:rPr>
        <w:t>Los botes son de diversos pesos: 10, 5, 3, 2, 1, ½ y ¼ kilogramo, pero para el ejercicio propuesto no tiene trascendencia. Salen tal cual de producción y en el almacén de PT no se reenvasan.</w:t>
      </w:r>
    </w:p>
    <w:p w:rsidR="00FF7A70" w:rsidRPr="00FF7A70" w:rsidRDefault="00FF7A70" w:rsidP="00FF7A70">
      <w:pPr>
        <w:rPr>
          <w:rFonts w:asciiTheme="minorHAnsi" w:hAnsiTheme="minorHAnsi"/>
          <w:i/>
          <w:sz w:val="22"/>
          <w:szCs w:val="22"/>
          <w:u w:val="single"/>
        </w:rPr>
      </w:pPr>
      <w:r w:rsidRPr="00FF7A70">
        <w:rPr>
          <w:rFonts w:asciiTheme="minorHAnsi" w:hAnsiTheme="minorHAnsi"/>
          <w:bCs/>
          <w:i/>
          <w:sz w:val="22"/>
          <w:szCs w:val="22"/>
          <w:u w:val="single"/>
        </w:rPr>
        <w:t>producto</w:t>
      </w:r>
    </w:p>
    <w:p w:rsidR="00FF7A70" w:rsidRPr="00FF7A70" w:rsidRDefault="00FF7A70" w:rsidP="00FF7A70">
      <w:pPr>
        <w:rPr>
          <w:rFonts w:asciiTheme="minorHAnsi" w:hAnsiTheme="minorHAnsi"/>
          <w:sz w:val="22"/>
          <w:szCs w:val="22"/>
        </w:rPr>
      </w:pPr>
      <w:r w:rsidRPr="00FF7A70">
        <w:rPr>
          <w:rFonts w:asciiTheme="minorHAnsi" w:hAnsiTheme="minorHAnsi"/>
          <w:sz w:val="22"/>
          <w:szCs w:val="22"/>
        </w:rPr>
        <w:t>Tiene clasificados los productos en tres categorías: pintura de exterior, pintura de interior y productos especiales. Independientemente de esta clasificación ha agrupado sus productos en un ranking ABC según su grado de rotación anual encuadrándolos en tres categorías:</w:t>
      </w:r>
    </w:p>
    <w:p w:rsidR="00FF7A70" w:rsidRPr="00FF7A70" w:rsidRDefault="00FF7A70" w:rsidP="00FF7A70">
      <w:pPr>
        <w:numPr>
          <w:ilvl w:val="0"/>
          <w:numId w:val="26"/>
        </w:numPr>
        <w:jc w:val="left"/>
        <w:rPr>
          <w:rFonts w:asciiTheme="minorHAnsi" w:hAnsiTheme="minorHAnsi"/>
          <w:sz w:val="22"/>
          <w:szCs w:val="22"/>
        </w:rPr>
      </w:pPr>
      <w:r w:rsidRPr="00FF7A70">
        <w:rPr>
          <w:rFonts w:asciiTheme="minorHAnsi" w:hAnsiTheme="minorHAnsi"/>
          <w:sz w:val="22"/>
          <w:szCs w:val="22"/>
        </w:rPr>
        <w:t xml:space="preserve">Productos A; rotan 12 o más veces </w:t>
      </w:r>
    </w:p>
    <w:p w:rsidR="00FF7A70" w:rsidRPr="00FF7A70" w:rsidRDefault="00FF7A70" w:rsidP="00FF7A70">
      <w:pPr>
        <w:numPr>
          <w:ilvl w:val="0"/>
          <w:numId w:val="26"/>
        </w:numPr>
        <w:jc w:val="left"/>
        <w:rPr>
          <w:rFonts w:asciiTheme="minorHAnsi" w:hAnsiTheme="minorHAnsi"/>
          <w:sz w:val="22"/>
          <w:szCs w:val="22"/>
        </w:rPr>
      </w:pPr>
      <w:r w:rsidRPr="00FF7A70">
        <w:rPr>
          <w:rFonts w:asciiTheme="minorHAnsi" w:hAnsiTheme="minorHAnsi"/>
          <w:sz w:val="22"/>
          <w:szCs w:val="22"/>
        </w:rPr>
        <w:t>Productos B; rotan entre 6 y 12 veces</w:t>
      </w:r>
    </w:p>
    <w:p w:rsidR="00FF7A70" w:rsidRPr="00FF7A70" w:rsidRDefault="00FF7A70" w:rsidP="00FF7A70">
      <w:pPr>
        <w:numPr>
          <w:ilvl w:val="0"/>
          <w:numId w:val="26"/>
        </w:numPr>
        <w:jc w:val="left"/>
        <w:rPr>
          <w:rFonts w:asciiTheme="minorHAnsi" w:hAnsiTheme="minorHAnsi"/>
          <w:sz w:val="22"/>
          <w:szCs w:val="22"/>
        </w:rPr>
      </w:pPr>
      <w:r w:rsidRPr="00FF7A70">
        <w:rPr>
          <w:rFonts w:asciiTheme="minorHAnsi" w:hAnsiTheme="minorHAnsi"/>
          <w:sz w:val="22"/>
          <w:szCs w:val="22"/>
        </w:rPr>
        <w:t>Productos C; rotan menos de 6 veces</w:t>
      </w:r>
    </w:p>
    <w:p w:rsidR="00FF7A70" w:rsidRPr="00FF7A70" w:rsidRDefault="00FF7A70" w:rsidP="00FF7A70">
      <w:pPr>
        <w:pStyle w:val="Textoindependiente3"/>
        <w:rPr>
          <w:rFonts w:asciiTheme="minorHAnsi" w:hAnsiTheme="minorHAnsi"/>
          <w:sz w:val="22"/>
          <w:szCs w:val="22"/>
        </w:rPr>
      </w:pPr>
      <w:r w:rsidRPr="00FF7A70">
        <w:rPr>
          <w:rFonts w:asciiTheme="minorHAnsi" w:hAnsiTheme="minorHAnsi"/>
          <w:sz w:val="22"/>
          <w:szCs w:val="22"/>
        </w:rPr>
        <w:t>Además están los ‘obsoletos’ cuyo grado de rotación es 1 (se han vendido una sola vez en todo el año) o 0 (no se han vendido en todo el año), y que llegando a este término los da de baja del stock.</w:t>
      </w:r>
    </w:p>
    <w:p w:rsidR="00FF7A70" w:rsidRPr="00FF7A70" w:rsidRDefault="00FF7A70" w:rsidP="00FF7A70">
      <w:pPr>
        <w:rPr>
          <w:rFonts w:asciiTheme="minorHAnsi" w:hAnsiTheme="minorHAnsi"/>
          <w:i/>
          <w:sz w:val="22"/>
          <w:szCs w:val="22"/>
          <w:u w:val="single"/>
        </w:rPr>
      </w:pPr>
      <w:r w:rsidRPr="00FF7A70">
        <w:rPr>
          <w:rFonts w:asciiTheme="minorHAnsi" w:hAnsiTheme="minorHAnsi"/>
          <w:i/>
          <w:sz w:val="22"/>
          <w:szCs w:val="22"/>
          <w:u w:val="single"/>
        </w:rPr>
        <w:t>clientes</w:t>
      </w:r>
    </w:p>
    <w:p w:rsidR="00FF7A70" w:rsidRPr="00FF7A70" w:rsidRDefault="00FF7A70" w:rsidP="00FF7A70">
      <w:pPr>
        <w:rPr>
          <w:rFonts w:asciiTheme="minorHAnsi" w:hAnsiTheme="minorHAnsi"/>
          <w:sz w:val="22"/>
          <w:szCs w:val="22"/>
        </w:rPr>
      </w:pPr>
      <w:r w:rsidRPr="00FF7A70">
        <w:rPr>
          <w:rFonts w:asciiTheme="minorHAnsi" w:hAnsiTheme="minorHAnsi"/>
          <w:sz w:val="22"/>
          <w:szCs w:val="22"/>
        </w:rPr>
        <w:t>Los hay de varios tipos según sea la distancia y la forma de realizar los pedidos.</w:t>
      </w:r>
    </w:p>
    <w:p w:rsidR="00FF7A70" w:rsidRPr="00FF7A70" w:rsidRDefault="00FF7A70" w:rsidP="00FF7A70">
      <w:pPr>
        <w:numPr>
          <w:ilvl w:val="0"/>
          <w:numId w:val="27"/>
        </w:numPr>
        <w:jc w:val="left"/>
        <w:rPr>
          <w:rFonts w:asciiTheme="minorHAnsi" w:hAnsiTheme="minorHAnsi"/>
          <w:sz w:val="22"/>
          <w:szCs w:val="22"/>
        </w:rPr>
      </w:pPr>
      <w:r w:rsidRPr="00FF7A70">
        <w:rPr>
          <w:rFonts w:asciiTheme="minorHAnsi" w:hAnsiTheme="minorHAnsi"/>
          <w:sz w:val="22"/>
          <w:szCs w:val="22"/>
        </w:rPr>
        <w:t xml:space="preserve">Clientes mayoristas  (distribuidores, grandes superficies) que piden por palets completos y </w:t>
      </w:r>
    </w:p>
    <w:p w:rsidR="00FF7A70" w:rsidRPr="00FF7A70" w:rsidRDefault="00FF7A70" w:rsidP="00FF7A70">
      <w:pPr>
        <w:numPr>
          <w:ilvl w:val="0"/>
          <w:numId w:val="27"/>
        </w:numPr>
        <w:jc w:val="left"/>
        <w:rPr>
          <w:rFonts w:asciiTheme="minorHAnsi" w:hAnsiTheme="minorHAnsi"/>
          <w:sz w:val="22"/>
          <w:szCs w:val="22"/>
        </w:rPr>
      </w:pPr>
      <w:r w:rsidRPr="00FF7A70">
        <w:rPr>
          <w:rFonts w:asciiTheme="minorHAnsi" w:hAnsiTheme="minorHAnsi"/>
          <w:sz w:val="22"/>
          <w:szCs w:val="22"/>
        </w:rPr>
        <w:t>droguerías de pequeño y mediano que piden por cajas.</w:t>
      </w:r>
    </w:p>
    <w:p w:rsidR="00FF7A70" w:rsidRPr="00FF7A70" w:rsidRDefault="00FF7A70" w:rsidP="00FF7A70">
      <w:pPr>
        <w:rPr>
          <w:rFonts w:asciiTheme="minorHAnsi" w:hAnsiTheme="minorHAnsi"/>
          <w:sz w:val="22"/>
          <w:szCs w:val="22"/>
        </w:rPr>
      </w:pPr>
      <w:r w:rsidRPr="00FF7A70">
        <w:rPr>
          <w:rFonts w:asciiTheme="minorHAnsi" w:hAnsiTheme="minorHAnsi"/>
          <w:sz w:val="22"/>
          <w:szCs w:val="22"/>
        </w:rPr>
        <w:t>En cuanto a la distancia están clasificados en dos grupos : lejanos y cercanos y en función de esta clasificación le han cotizado las tarifas de transporte</w:t>
      </w:r>
    </w:p>
    <w:p w:rsidR="00FF7A70" w:rsidRPr="00FF7A70" w:rsidRDefault="00FF7A70" w:rsidP="00FF7A70">
      <w:pPr>
        <w:rPr>
          <w:rFonts w:asciiTheme="minorHAnsi" w:hAnsiTheme="minorHAnsi"/>
          <w:bCs/>
          <w:i/>
          <w:sz w:val="22"/>
          <w:szCs w:val="22"/>
          <w:u w:val="single"/>
        </w:rPr>
      </w:pPr>
      <w:r w:rsidRPr="00FF7A70">
        <w:rPr>
          <w:rFonts w:asciiTheme="minorHAnsi" w:hAnsiTheme="minorHAnsi"/>
          <w:bCs/>
          <w:i/>
          <w:sz w:val="22"/>
          <w:szCs w:val="22"/>
          <w:u w:val="single"/>
        </w:rPr>
        <w:t>tarifas de transporte</w:t>
      </w:r>
    </w:p>
    <w:p w:rsidR="00FF7A70" w:rsidRPr="00FF7A70" w:rsidRDefault="00FF7A70" w:rsidP="00FF7A70">
      <w:pPr>
        <w:rPr>
          <w:rFonts w:asciiTheme="minorHAnsi" w:hAnsiTheme="minorHAnsi"/>
          <w:sz w:val="22"/>
          <w:szCs w:val="22"/>
        </w:rPr>
      </w:pPr>
      <w:r w:rsidRPr="00FF7A70">
        <w:rPr>
          <w:rFonts w:asciiTheme="minorHAnsi" w:hAnsiTheme="minorHAnsi"/>
          <w:sz w:val="22"/>
          <w:szCs w:val="22"/>
        </w:rPr>
        <w:t>En cuanto a la distancia, tiene unas tarifas de transporte que varían en función de la misma y del tamaño del envío según el siguiente baremo:</w:t>
      </w:r>
    </w:p>
    <w:p w:rsidR="00FF7A70" w:rsidRPr="00FF7A70" w:rsidRDefault="00FF7A70" w:rsidP="00FF7A70">
      <w:pPr>
        <w:numPr>
          <w:ilvl w:val="0"/>
          <w:numId w:val="25"/>
        </w:numPr>
        <w:rPr>
          <w:rFonts w:asciiTheme="minorHAnsi" w:hAnsiTheme="minorHAnsi"/>
          <w:sz w:val="22"/>
          <w:szCs w:val="22"/>
        </w:rPr>
      </w:pPr>
      <w:r w:rsidRPr="00FF7A70">
        <w:rPr>
          <w:rFonts w:asciiTheme="minorHAnsi" w:hAnsiTheme="minorHAnsi"/>
          <w:sz w:val="22"/>
          <w:szCs w:val="22"/>
        </w:rPr>
        <w:t xml:space="preserve">palet completo, cliente larga distancia </w:t>
      </w:r>
      <w:r w:rsidRPr="00FF7A70">
        <w:rPr>
          <w:rFonts w:asciiTheme="minorHAnsi" w:hAnsiTheme="minorHAnsi"/>
          <w:sz w:val="22"/>
          <w:szCs w:val="22"/>
        </w:rPr>
        <w:sym w:font="Wingdings" w:char="F0E0"/>
      </w:r>
      <w:r w:rsidRPr="00FF7A70">
        <w:rPr>
          <w:rFonts w:asciiTheme="minorHAnsi" w:hAnsiTheme="minorHAnsi"/>
          <w:sz w:val="22"/>
          <w:szCs w:val="22"/>
        </w:rPr>
        <w:t xml:space="preserve"> 40 € / palet</w:t>
      </w:r>
    </w:p>
    <w:p w:rsidR="00FF7A70" w:rsidRPr="00FF7A70" w:rsidRDefault="00FF7A70" w:rsidP="00FF7A70">
      <w:pPr>
        <w:numPr>
          <w:ilvl w:val="0"/>
          <w:numId w:val="25"/>
        </w:numPr>
        <w:rPr>
          <w:rFonts w:asciiTheme="minorHAnsi" w:hAnsiTheme="minorHAnsi"/>
          <w:sz w:val="22"/>
          <w:szCs w:val="22"/>
        </w:rPr>
      </w:pPr>
      <w:r w:rsidRPr="00FF7A70">
        <w:rPr>
          <w:rFonts w:asciiTheme="minorHAnsi" w:hAnsiTheme="minorHAnsi"/>
          <w:sz w:val="22"/>
          <w:szCs w:val="22"/>
        </w:rPr>
        <w:t xml:space="preserve">palet completo, cliente corta distancia </w:t>
      </w:r>
      <w:r w:rsidRPr="00FF7A70">
        <w:rPr>
          <w:rFonts w:asciiTheme="minorHAnsi" w:hAnsiTheme="minorHAnsi"/>
          <w:sz w:val="22"/>
          <w:szCs w:val="22"/>
        </w:rPr>
        <w:sym w:font="Wingdings" w:char="F0E0"/>
      </w:r>
      <w:r w:rsidRPr="00FF7A70">
        <w:rPr>
          <w:rFonts w:asciiTheme="minorHAnsi" w:hAnsiTheme="minorHAnsi"/>
          <w:sz w:val="22"/>
          <w:szCs w:val="22"/>
        </w:rPr>
        <w:t xml:space="preserve"> 30 € /palet</w:t>
      </w:r>
    </w:p>
    <w:p w:rsidR="00FF7A70" w:rsidRPr="00FF7A70" w:rsidRDefault="00FF7A70" w:rsidP="00FF7A70">
      <w:pPr>
        <w:numPr>
          <w:ilvl w:val="0"/>
          <w:numId w:val="25"/>
        </w:numPr>
        <w:rPr>
          <w:rFonts w:asciiTheme="minorHAnsi" w:hAnsiTheme="minorHAnsi"/>
          <w:sz w:val="22"/>
          <w:szCs w:val="22"/>
        </w:rPr>
      </w:pPr>
      <w:r w:rsidRPr="00FF7A70">
        <w:rPr>
          <w:rFonts w:asciiTheme="minorHAnsi" w:hAnsiTheme="minorHAnsi"/>
          <w:sz w:val="22"/>
          <w:szCs w:val="22"/>
        </w:rPr>
        <w:t xml:space="preserve">caja, cliente larga distancia </w:t>
      </w:r>
      <w:r w:rsidRPr="00FF7A70">
        <w:rPr>
          <w:rFonts w:asciiTheme="minorHAnsi" w:hAnsiTheme="minorHAnsi"/>
          <w:sz w:val="22"/>
          <w:szCs w:val="22"/>
        </w:rPr>
        <w:sym w:font="Wingdings" w:char="F0E0"/>
      </w:r>
      <w:r w:rsidRPr="00FF7A70">
        <w:rPr>
          <w:rFonts w:asciiTheme="minorHAnsi" w:hAnsiTheme="minorHAnsi"/>
          <w:sz w:val="22"/>
          <w:szCs w:val="22"/>
        </w:rPr>
        <w:t xml:space="preserve"> 0,4 € / caja</w:t>
      </w:r>
    </w:p>
    <w:p w:rsidR="00FF7A70" w:rsidRPr="00FF7A70" w:rsidRDefault="00FF7A70" w:rsidP="00FF7A70">
      <w:pPr>
        <w:numPr>
          <w:ilvl w:val="0"/>
          <w:numId w:val="25"/>
        </w:numPr>
        <w:rPr>
          <w:rFonts w:asciiTheme="minorHAnsi" w:hAnsiTheme="minorHAnsi"/>
          <w:sz w:val="22"/>
          <w:szCs w:val="22"/>
        </w:rPr>
      </w:pPr>
      <w:r w:rsidRPr="00FF7A70">
        <w:rPr>
          <w:rFonts w:asciiTheme="minorHAnsi" w:hAnsiTheme="minorHAnsi"/>
          <w:sz w:val="22"/>
          <w:szCs w:val="22"/>
        </w:rPr>
        <w:t xml:space="preserve">caja, cliente corta distancia </w:t>
      </w:r>
      <w:r w:rsidRPr="00FF7A70">
        <w:rPr>
          <w:rFonts w:asciiTheme="minorHAnsi" w:hAnsiTheme="minorHAnsi"/>
          <w:sz w:val="22"/>
          <w:szCs w:val="22"/>
        </w:rPr>
        <w:sym w:font="Wingdings" w:char="F0E0"/>
      </w:r>
      <w:r w:rsidRPr="00FF7A70">
        <w:rPr>
          <w:rFonts w:asciiTheme="minorHAnsi" w:hAnsiTheme="minorHAnsi"/>
          <w:sz w:val="22"/>
          <w:szCs w:val="22"/>
        </w:rPr>
        <w:t xml:space="preserve"> 0,3 € / caja</w:t>
      </w:r>
    </w:p>
    <w:p w:rsidR="00FF7A70" w:rsidRPr="00FF7A70" w:rsidRDefault="00FF7A70" w:rsidP="00FF7A70">
      <w:pPr>
        <w:rPr>
          <w:rFonts w:asciiTheme="minorHAnsi" w:hAnsiTheme="minorHAnsi"/>
          <w:i/>
          <w:sz w:val="22"/>
          <w:szCs w:val="22"/>
          <w:u w:val="single"/>
        </w:rPr>
      </w:pPr>
      <w:r w:rsidRPr="00FF7A70">
        <w:rPr>
          <w:rFonts w:asciiTheme="minorHAnsi" w:hAnsiTheme="minorHAnsi"/>
          <w:bCs/>
          <w:i/>
          <w:sz w:val="22"/>
          <w:szCs w:val="22"/>
          <w:u w:val="single"/>
        </w:rPr>
        <w:t>costos (inversión y gastos operativos)</w:t>
      </w:r>
    </w:p>
    <w:p w:rsidR="00FF7A70" w:rsidRPr="00FF7A70" w:rsidRDefault="00FF7A70" w:rsidP="00FF7A70">
      <w:pPr>
        <w:ind w:left="708"/>
        <w:rPr>
          <w:rFonts w:asciiTheme="minorHAnsi" w:hAnsiTheme="minorHAnsi"/>
          <w:sz w:val="22"/>
          <w:szCs w:val="22"/>
        </w:rPr>
      </w:pPr>
      <w:r w:rsidRPr="00FF7A70">
        <w:rPr>
          <w:rFonts w:asciiTheme="minorHAnsi" w:hAnsiTheme="minorHAnsi"/>
          <w:sz w:val="22"/>
          <w:szCs w:val="22"/>
        </w:rPr>
        <w:t>El suelo tiene un valor de 400 € / m</w:t>
      </w:r>
      <w:r w:rsidRPr="00FF7A70">
        <w:rPr>
          <w:rFonts w:asciiTheme="minorHAnsi" w:hAnsiTheme="minorHAnsi"/>
          <w:sz w:val="22"/>
          <w:szCs w:val="22"/>
          <w:vertAlign w:val="superscript"/>
        </w:rPr>
        <w:t>2</w:t>
      </w:r>
      <w:r w:rsidRPr="00FF7A70">
        <w:rPr>
          <w:rFonts w:asciiTheme="minorHAnsi" w:hAnsiTheme="minorHAnsi"/>
          <w:sz w:val="22"/>
          <w:szCs w:val="22"/>
        </w:rPr>
        <w:t>. Total suelo: 10.000 m</w:t>
      </w:r>
      <w:r w:rsidRPr="00FF7A70">
        <w:rPr>
          <w:rFonts w:asciiTheme="minorHAnsi" w:hAnsiTheme="minorHAnsi"/>
          <w:sz w:val="22"/>
          <w:szCs w:val="22"/>
          <w:vertAlign w:val="superscript"/>
        </w:rPr>
        <w:t>2</w:t>
      </w:r>
      <w:r w:rsidRPr="00FF7A70">
        <w:rPr>
          <w:rFonts w:asciiTheme="minorHAnsi" w:hAnsiTheme="minorHAnsi"/>
          <w:sz w:val="22"/>
          <w:szCs w:val="22"/>
        </w:rPr>
        <w:t>. Amortización: 3% anual.</w:t>
      </w:r>
      <w:r w:rsidRPr="00FF7A70">
        <w:rPr>
          <w:rFonts w:asciiTheme="minorHAnsi" w:hAnsiTheme="minorHAnsi"/>
          <w:sz w:val="22"/>
          <w:szCs w:val="22"/>
          <w:vertAlign w:val="superscript"/>
        </w:rPr>
        <w:t xml:space="preserve"> </w:t>
      </w:r>
    </w:p>
    <w:p w:rsidR="00FF7A70" w:rsidRPr="00FF7A70" w:rsidRDefault="00FF7A70" w:rsidP="00FF7A70">
      <w:pPr>
        <w:ind w:left="708"/>
        <w:rPr>
          <w:rFonts w:asciiTheme="minorHAnsi" w:hAnsiTheme="minorHAnsi"/>
          <w:sz w:val="22"/>
          <w:szCs w:val="22"/>
          <w:vertAlign w:val="superscript"/>
        </w:rPr>
      </w:pPr>
      <w:r w:rsidRPr="00FF7A70">
        <w:rPr>
          <w:rFonts w:asciiTheme="minorHAnsi" w:hAnsiTheme="minorHAnsi"/>
          <w:sz w:val="22"/>
          <w:szCs w:val="22"/>
        </w:rPr>
        <w:t>El almacén, m</w:t>
      </w:r>
      <w:r w:rsidRPr="00FF7A70">
        <w:rPr>
          <w:rFonts w:asciiTheme="minorHAnsi" w:hAnsiTheme="minorHAnsi"/>
          <w:sz w:val="22"/>
          <w:szCs w:val="22"/>
          <w:vertAlign w:val="superscript"/>
        </w:rPr>
        <w:t>2</w:t>
      </w:r>
      <w:r w:rsidRPr="00FF7A70">
        <w:rPr>
          <w:rFonts w:asciiTheme="minorHAnsi" w:hAnsiTheme="minorHAnsi"/>
          <w:sz w:val="22"/>
          <w:szCs w:val="22"/>
        </w:rPr>
        <w:t xml:space="preserve"> construido (sin contar el suelo): 300 €/m</w:t>
      </w:r>
      <w:r w:rsidRPr="00FF7A70">
        <w:rPr>
          <w:rFonts w:asciiTheme="minorHAnsi" w:hAnsiTheme="minorHAnsi"/>
          <w:sz w:val="22"/>
          <w:szCs w:val="22"/>
          <w:vertAlign w:val="superscript"/>
        </w:rPr>
        <w:t>2</w:t>
      </w:r>
      <w:r w:rsidRPr="00FF7A70">
        <w:rPr>
          <w:rFonts w:asciiTheme="minorHAnsi" w:hAnsiTheme="minorHAnsi"/>
          <w:sz w:val="22"/>
          <w:szCs w:val="22"/>
        </w:rPr>
        <w:t>. Total suelo construido: 8.000 m</w:t>
      </w:r>
      <w:r w:rsidRPr="00FF7A70">
        <w:rPr>
          <w:rFonts w:asciiTheme="minorHAnsi" w:hAnsiTheme="minorHAnsi"/>
          <w:sz w:val="22"/>
          <w:szCs w:val="22"/>
          <w:vertAlign w:val="superscript"/>
        </w:rPr>
        <w:t>2</w:t>
      </w:r>
    </w:p>
    <w:p w:rsidR="00FF7A70" w:rsidRPr="00FF7A70" w:rsidRDefault="00FF7A70" w:rsidP="00FF7A70">
      <w:pPr>
        <w:ind w:left="708"/>
        <w:rPr>
          <w:rFonts w:asciiTheme="minorHAnsi" w:hAnsiTheme="minorHAnsi"/>
          <w:sz w:val="22"/>
          <w:szCs w:val="22"/>
        </w:rPr>
      </w:pPr>
      <w:r w:rsidRPr="00FF7A70">
        <w:rPr>
          <w:rFonts w:asciiTheme="minorHAnsi" w:hAnsiTheme="minorHAnsi"/>
          <w:sz w:val="22"/>
          <w:szCs w:val="22"/>
        </w:rPr>
        <w:t>Amortización: 3% anual.</w:t>
      </w:r>
    </w:p>
    <w:p w:rsidR="00FF7A70" w:rsidRPr="00FF7A70" w:rsidRDefault="00FF7A70" w:rsidP="00FF7A70">
      <w:pPr>
        <w:ind w:left="708"/>
        <w:rPr>
          <w:rFonts w:asciiTheme="minorHAnsi" w:hAnsiTheme="minorHAnsi"/>
          <w:sz w:val="22"/>
          <w:szCs w:val="22"/>
        </w:rPr>
      </w:pPr>
      <w:r w:rsidRPr="00FF7A70">
        <w:rPr>
          <w:rFonts w:asciiTheme="minorHAnsi" w:hAnsiTheme="minorHAnsi"/>
          <w:sz w:val="22"/>
          <w:szCs w:val="22"/>
        </w:rPr>
        <w:t>Elementos de manipulación (carretillas, etc.): 60.000 €.</w:t>
      </w:r>
    </w:p>
    <w:p w:rsidR="00FF7A70" w:rsidRPr="00FF7A70" w:rsidRDefault="00FF7A70" w:rsidP="00FF7A70">
      <w:pPr>
        <w:ind w:left="708"/>
        <w:rPr>
          <w:rFonts w:asciiTheme="minorHAnsi" w:hAnsiTheme="minorHAnsi"/>
          <w:sz w:val="22"/>
          <w:szCs w:val="22"/>
        </w:rPr>
      </w:pPr>
      <w:r w:rsidRPr="00FF7A70">
        <w:rPr>
          <w:rFonts w:asciiTheme="minorHAnsi" w:hAnsiTheme="minorHAnsi"/>
          <w:sz w:val="22"/>
          <w:szCs w:val="22"/>
        </w:rPr>
        <w:t>Informática : 50.000 €.</w:t>
      </w:r>
    </w:p>
    <w:p w:rsidR="00FF7A70" w:rsidRPr="00FF7A70" w:rsidRDefault="00FF7A70" w:rsidP="00FF7A70">
      <w:pPr>
        <w:ind w:left="708"/>
        <w:rPr>
          <w:rFonts w:asciiTheme="minorHAnsi" w:hAnsiTheme="minorHAnsi"/>
          <w:sz w:val="22"/>
          <w:szCs w:val="22"/>
        </w:rPr>
      </w:pPr>
      <w:r w:rsidRPr="00FF7A70">
        <w:rPr>
          <w:rFonts w:asciiTheme="minorHAnsi" w:hAnsiTheme="minorHAnsi"/>
          <w:sz w:val="22"/>
          <w:szCs w:val="22"/>
        </w:rPr>
        <w:t>Estanterías : 180.000 €.</w:t>
      </w:r>
    </w:p>
    <w:p w:rsidR="00FF7A70" w:rsidRPr="00FF7A70" w:rsidRDefault="00FF7A70" w:rsidP="00FF7A70">
      <w:pPr>
        <w:ind w:left="708"/>
        <w:rPr>
          <w:rFonts w:asciiTheme="minorHAnsi" w:hAnsiTheme="minorHAnsi"/>
          <w:sz w:val="22"/>
          <w:szCs w:val="22"/>
        </w:rPr>
      </w:pPr>
      <w:r w:rsidRPr="00FF7A70">
        <w:rPr>
          <w:rFonts w:asciiTheme="minorHAnsi" w:hAnsiTheme="minorHAnsi"/>
          <w:sz w:val="22"/>
          <w:szCs w:val="22"/>
        </w:rPr>
        <w:t>Parte proporcional de gastos generales : 20.000 € /año.</w:t>
      </w:r>
    </w:p>
    <w:p w:rsidR="00FF7A70" w:rsidRPr="00FF7A70" w:rsidRDefault="00FF7A70" w:rsidP="00FF7A70">
      <w:pPr>
        <w:ind w:left="708"/>
        <w:rPr>
          <w:rFonts w:asciiTheme="minorHAnsi" w:hAnsiTheme="minorHAnsi"/>
          <w:sz w:val="22"/>
          <w:szCs w:val="22"/>
        </w:rPr>
      </w:pPr>
      <w:r w:rsidRPr="00FF7A70">
        <w:rPr>
          <w:rFonts w:asciiTheme="minorHAnsi" w:hAnsiTheme="minorHAnsi"/>
          <w:sz w:val="22"/>
          <w:szCs w:val="22"/>
        </w:rPr>
        <w:t>Luz, agua, reparaciones : 15.000 € / año.</w:t>
      </w:r>
    </w:p>
    <w:p w:rsidR="00FF7A70" w:rsidRPr="00FF7A70" w:rsidRDefault="00FF7A70" w:rsidP="00FF7A70">
      <w:pPr>
        <w:ind w:left="708"/>
        <w:rPr>
          <w:rFonts w:asciiTheme="minorHAnsi" w:hAnsiTheme="minorHAnsi"/>
          <w:sz w:val="22"/>
          <w:szCs w:val="22"/>
        </w:rPr>
      </w:pPr>
      <w:r w:rsidRPr="00FF7A70">
        <w:rPr>
          <w:rFonts w:asciiTheme="minorHAnsi" w:hAnsiTheme="minorHAnsi"/>
          <w:sz w:val="22"/>
          <w:szCs w:val="22"/>
        </w:rPr>
        <w:lastRenderedPageBreak/>
        <w:t>Seguros : 15.000 € / año.</w:t>
      </w:r>
    </w:p>
    <w:p w:rsidR="00FF7A70" w:rsidRPr="00FF7A70" w:rsidRDefault="00FF7A70" w:rsidP="00FF7A70">
      <w:pPr>
        <w:ind w:left="708"/>
        <w:rPr>
          <w:rFonts w:asciiTheme="minorHAnsi" w:hAnsiTheme="minorHAnsi"/>
          <w:sz w:val="22"/>
          <w:szCs w:val="22"/>
        </w:rPr>
      </w:pPr>
      <w:r w:rsidRPr="00FF7A70">
        <w:rPr>
          <w:rFonts w:asciiTheme="minorHAnsi" w:hAnsiTheme="minorHAnsi"/>
          <w:sz w:val="22"/>
          <w:szCs w:val="22"/>
        </w:rPr>
        <w:t>Gastos generales: 50.000 € /año.</w:t>
      </w:r>
    </w:p>
    <w:p w:rsidR="00FF7A70" w:rsidRPr="00FF7A70" w:rsidRDefault="00FF7A70" w:rsidP="00FF7A70">
      <w:pPr>
        <w:rPr>
          <w:rFonts w:asciiTheme="minorHAnsi" w:hAnsiTheme="minorHAnsi"/>
          <w:i/>
          <w:sz w:val="22"/>
          <w:szCs w:val="22"/>
          <w:u w:val="single"/>
        </w:rPr>
      </w:pPr>
      <w:r w:rsidRPr="00FF7A70">
        <w:rPr>
          <w:rFonts w:asciiTheme="minorHAnsi" w:hAnsiTheme="minorHAnsi"/>
          <w:bCs/>
          <w:i/>
          <w:sz w:val="22"/>
          <w:szCs w:val="22"/>
          <w:u w:val="single"/>
        </w:rPr>
        <w:t>estanterías</w:t>
      </w:r>
    </w:p>
    <w:p w:rsidR="00FF7A70" w:rsidRPr="00FF7A70" w:rsidRDefault="00FF7A70" w:rsidP="00FF7A70">
      <w:pPr>
        <w:ind w:left="708"/>
        <w:rPr>
          <w:rFonts w:asciiTheme="minorHAnsi" w:hAnsiTheme="minorHAnsi"/>
          <w:sz w:val="22"/>
          <w:szCs w:val="22"/>
        </w:rPr>
      </w:pPr>
      <w:r w:rsidRPr="00FF7A70">
        <w:rPr>
          <w:rFonts w:asciiTheme="minorHAnsi" w:hAnsiTheme="minorHAnsi"/>
          <w:sz w:val="22"/>
          <w:szCs w:val="22"/>
        </w:rPr>
        <w:t>Entre compactas y convencionales el almacén tiene capacidad para 6.000 palets</w:t>
      </w:r>
    </w:p>
    <w:p w:rsidR="00FF7A70" w:rsidRPr="00FF7A70" w:rsidRDefault="00FF7A70" w:rsidP="00FF7A70">
      <w:pPr>
        <w:ind w:left="708"/>
        <w:rPr>
          <w:rFonts w:asciiTheme="minorHAnsi" w:hAnsiTheme="minorHAnsi"/>
          <w:sz w:val="22"/>
          <w:szCs w:val="22"/>
        </w:rPr>
      </w:pPr>
      <w:r w:rsidRPr="00FF7A70">
        <w:rPr>
          <w:rFonts w:asciiTheme="minorHAnsi" w:hAnsiTheme="minorHAnsi"/>
          <w:sz w:val="22"/>
          <w:szCs w:val="22"/>
        </w:rPr>
        <w:t>El índice de ocupación es del 75%</w:t>
      </w:r>
    </w:p>
    <w:p w:rsidR="00FF7A70" w:rsidRPr="00FF7A70" w:rsidRDefault="00FF7A70" w:rsidP="00FF7A70">
      <w:pPr>
        <w:rPr>
          <w:rFonts w:asciiTheme="minorHAnsi" w:hAnsiTheme="minorHAnsi"/>
          <w:i/>
          <w:sz w:val="22"/>
          <w:szCs w:val="22"/>
          <w:u w:val="single"/>
        </w:rPr>
      </w:pPr>
      <w:r w:rsidRPr="00FF7A70">
        <w:rPr>
          <w:rFonts w:asciiTheme="minorHAnsi" w:hAnsiTheme="minorHAnsi"/>
          <w:bCs/>
          <w:i/>
          <w:sz w:val="22"/>
          <w:szCs w:val="22"/>
          <w:u w:val="single"/>
        </w:rPr>
        <w:t>preparación de pedidos</w:t>
      </w:r>
    </w:p>
    <w:p w:rsidR="00FF7A70" w:rsidRPr="00FF7A70" w:rsidRDefault="00FF7A70" w:rsidP="00FF7A70">
      <w:pPr>
        <w:numPr>
          <w:ilvl w:val="0"/>
          <w:numId w:val="22"/>
        </w:numPr>
        <w:rPr>
          <w:rFonts w:asciiTheme="minorHAnsi" w:hAnsiTheme="minorHAnsi"/>
          <w:sz w:val="22"/>
          <w:szCs w:val="22"/>
        </w:rPr>
      </w:pPr>
      <w:r w:rsidRPr="00FF7A70">
        <w:rPr>
          <w:rFonts w:asciiTheme="minorHAnsi" w:hAnsiTheme="minorHAnsi"/>
          <w:sz w:val="22"/>
          <w:szCs w:val="22"/>
        </w:rPr>
        <w:t xml:space="preserve">Costo hora/personal </w:t>
      </w:r>
      <w:r w:rsidRPr="00FF7A70">
        <w:rPr>
          <w:rFonts w:asciiTheme="minorHAnsi" w:hAnsiTheme="minorHAnsi"/>
          <w:sz w:val="22"/>
          <w:szCs w:val="22"/>
        </w:rPr>
        <w:sym w:font="Wingdings" w:char="F0E0"/>
      </w:r>
      <w:r w:rsidRPr="00FF7A70">
        <w:rPr>
          <w:rFonts w:asciiTheme="minorHAnsi" w:hAnsiTheme="minorHAnsi"/>
          <w:sz w:val="22"/>
          <w:szCs w:val="22"/>
        </w:rPr>
        <w:t xml:space="preserve"> 25 €/hora</w:t>
      </w:r>
    </w:p>
    <w:p w:rsidR="00FF7A70" w:rsidRPr="00FF7A70" w:rsidRDefault="00FF7A70" w:rsidP="00FF7A70">
      <w:pPr>
        <w:numPr>
          <w:ilvl w:val="0"/>
          <w:numId w:val="22"/>
        </w:numPr>
        <w:rPr>
          <w:rFonts w:asciiTheme="minorHAnsi" w:hAnsiTheme="minorHAnsi"/>
          <w:sz w:val="22"/>
          <w:szCs w:val="22"/>
        </w:rPr>
      </w:pPr>
      <w:r w:rsidRPr="00FF7A70">
        <w:rPr>
          <w:rFonts w:asciiTheme="minorHAnsi" w:hAnsiTheme="minorHAnsi"/>
          <w:sz w:val="22"/>
          <w:szCs w:val="22"/>
        </w:rPr>
        <w:t xml:space="preserve">Tiempo preparación 1 palet </w:t>
      </w:r>
      <w:r w:rsidRPr="00FF7A70">
        <w:rPr>
          <w:rFonts w:asciiTheme="minorHAnsi" w:hAnsiTheme="minorHAnsi"/>
          <w:sz w:val="22"/>
          <w:szCs w:val="22"/>
        </w:rPr>
        <w:sym w:font="Wingdings" w:char="F0E0"/>
      </w:r>
      <w:r w:rsidRPr="00FF7A70">
        <w:rPr>
          <w:rFonts w:asciiTheme="minorHAnsi" w:hAnsiTheme="minorHAnsi"/>
          <w:sz w:val="22"/>
          <w:szCs w:val="22"/>
        </w:rPr>
        <w:t xml:space="preserve"> 1 minuto</w:t>
      </w:r>
    </w:p>
    <w:p w:rsidR="00FF7A70" w:rsidRPr="00FF7A70" w:rsidRDefault="00FF7A70" w:rsidP="00FF7A70">
      <w:pPr>
        <w:numPr>
          <w:ilvl w:val="0"/>
          <w:numId w:val="22"/>
        </w:numPr>
        <w:rPr>
          <w:rFonts w:asciiTheme="minorHAnsi" w:hAnsiTheme="minorHAnsi"/>
          <w:sz w:val="22"/>
          <w:szCs w:val="22"/>
        </w:rPr>
      </w:pPr>
      <w:r w:rsidRPr="00FF7A70">
        <w:rPr>
          <w:rFonts w:asciiTheme="minorHAnsi" w:hAnsiTheme="minorHAnsi"/>
          <w:sz w:val="22"/>
          <w:szCs w:val="22"/>
        </w:rPr>
        <w:t xml:space="preserve">Tiempo preparación 1 caja </w:t>
      </w:r>
      <w:r w:rsidRPr="00FF7A70">
        <w:rPr>
          <w:rFonts w:asciiTheme="minorHAnsi" w:hAnsiTheme="minorHAnsi"/>
          <w:sz w:val="22"/>
          <w:szCs w:val="22"/>
        </w:rPr>
        <w:sym w:font="Wingdings" w:char="F0E0"/>
      </w:r>
      <w:r w:rsidRPr="00FF7A70">
        <w:rPr>
          <w:rFonts w:asciiTheme="minorHAnsi" w:hAnsiTheme="minorHAnsi"/>
          <w:sz w:val="22"/>
          <w:szCs w:val="22"/>
        </w:rPr>
        <w:t xml:space="preserve"> 75 segundos</w:t>
      </w:r>
    </w:p>
    <w:p w:rsidR="00FF7A70" w:rsidRPr="00FF7A70" w:rsidRDefault="00FF7A70" w:rsidP="00FF7A70">
      <w:pPr>
        <w:ind w:left="448"/>
        <w:rPr>
          <w:rFonts w:asciiTheme="minorHAnsi" w:hAnsiTheme="minorHAnsi"/>
          <w:sz w:val="22"/>
          <w:szCs w:val="22"/>
        </w:rPr>
      </w:pPr>
    </w:p>
    <w:p w:rsidR="00FF7A70" w:rsidRPr="00FF7A70" w:rsidRDefault="00FF7A70" w:rsidP="00FF7A70">
      <w:pPr>
        <w:rPr>
          <w:rFonts w:asciiTheme="minorHAnsi" w:hAnsiTheme="minorHAnsi"/>
          <w:i/>
          <w:sz w:val="22"/>
          <w:szCs w:val="22"/>
        </w:rPr>
      </w:pPr>
      <w:r w:rsidRPr="00FF7A70">
        <w:rPr>
          <w:rFonts w:asciiTheme="minorHAnsi" w:hAnsiTheme="minorHAnsi"/>
          <w:bCs/>
          <w:i/>
          <w:sz w:val="22"/>
          <w:szCs w:val="22"/>
          <w:u w:val="single"/>
        </w:rPr>
        <w:t>la amortización y/o el ratio de rentabilidad</w:t>
      </w:r>
    </w:p>
    <w:tbl>
      <w:tblPr>
        <w:tblW w:w="0" w:type="auto"/>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000"/>
      </w:tblPr>
      <w:tblGrid>
        <w:gridCol w:w="3615"/>
        <w:gridCol w:w="968"/>
        <w:gridCol w:w="983"/>
        <w:gridCol w:w="1406"/>
        <w:gridCol w:w="1402"/>
        <w:gridCol w:w="1197"/>
      </w:tblGrid>
      <w:tr w:rsidR="00FF7A70" w:rsidRPr="00FF7A70" w:rsidTr="001A1FDE">
        <w:tc>
          <w:tcPr>
            <w:tcW w:w="3756" w:type="dxa"/>
            <w:tcBorders>
              <w:right w:val="single" w:sz="6" w:space="0" w:color="9BBB59" w:themeColor="accent3"/>
            </w:tcBorders>
            <w:shd w:val="clear" w:color="auto" w:fill="A6A6A6" w:themeFill="background1" w:themeFillShade="A6"/>
          </w:tcPr>
          <w:p w:rsidR="00FF7A70" w:rsidRPr="00FF7A70" w:rsidRDefault="00FF7A70" w:rsidP="001A1FDE">
            <w:pPr>
              <w:rPr>
                <w:rFonts w:asciiTheme="minorHAnsi" w:eastAsiaTheme="majorEastAsia" w:hAnsiTheme="minorHAnsi" w:cstheme="majorBidi"/>
                <w:b/>
                <w:color w:val="FFFFFF" w:themeColor="background1"/>
                <w:sz w:val="22"/>
                <w:szCs w:val="22"/>
              </w:rPr>
            </w:pPr>
            <w:r w:rsidRPr="00FF7A70">
              <w:rPr>
                <w:rFonts w:asciiTheme="minorHAnsi" w:eastAsiaTheme="majorEastAsia" w:hAnsiTheme="minorHAnsi" w:cstheme="majorBidi"/>
                <w:b/>
                <w:color w:val="FFFFFF" w:themeColor="background1"/>
                <w:sz w:val="22"/>
                <w:szCs w:val="22"/>
              </w:rPr>
              <w:t>%’s amortización y/o rentabilidad</w:t>
            </w:r>
          </w:p>
        </w:tc>
        <w:tc>
          <w:tcPr>
            <w:tcW w:w="992" w:type="dxa"/>
            <w:tcBorders>
              <w:left w:val="single" w:sz="6" w:space="0" w:color="9BBB59" w:themeColor="accent3"/>
              <w:right w:val="single" w:sz="6" w:space="0" w:color="9BBB59" w:themeColor="accent3"/>
            </w:tcBorders>
            <w:shd w:val="clear" w:color="auto" w:fill="A6A6A6" w:themeFill="background1" w:themeFillShade="A6"/>
          </w:tcPr>
          <w:p w:rsidR="00FF7A70" w:rsidRPr="00FF7A70" w:rsidRDefault="00FF7A70" w:rsidP="001A1FDE">
            <w:pPr>
              <w:jc w:val="center"/>
              <w:rPr>
                <w:rFonts w:asciiTheme="minorHAnsi" w:eastAsiaTheme="majorEastAsia" w:hAnsiTheme="minorHAnsi" w:cstheme="majorBidi"/>
                <w:b/>
                <w:color w:val="FFFFFF" w:themeColor="background1"/>
                <w:sz w:val="22"/>
                <w:szCs w:val="22"/>
              </w:rPr>
            </w:pPr>
            <w:r w:rsidRPr="00FF7A70">
              <w:rPr>
                <w:rFonts w:asciiTheme="minorHAnsi" w:eastAsiaTheme="majorEastAsia" w:hAnsiTheme="minorHAnsi" w:cstheme="majorBidi"/>
                <w:b/>
                <w:color w:val="FFFFFF" w:themeColor="background1"/>
                <w:sz w:val="22"/>
                <w:szCs w:val="22"/>
              </w:rPr>
              <w:t>suelo</w:t>
            </w:r>
          </w:p>
        </w:tc>
        <w:tc>
          <w:tcPr>
            <w:tcW w:w="992" w:type="dxa"/>
            <w:tcBorders>
              <w:left w:val="single" w:sz="6" w:space="0" w:color="9BBB59" w:themeColor="accent3"/>
              <w:right w:val="single" w:sz="6" w:space="0" w:color="9BBB59" w:themeColor="accent3"/>
            </w:tcBorders>
            <w:shd w:val="clear" w:color="auto" w:fill="A6A6A6" w:themeFill="background1" w:themeFillShade="A6"/>
          </w:tcPr>
          <w:p w:rsidR="00FF7A70" w:rsidRPr="00FF7A70" w:rsidRDefault="00FF7A70" w:rsidP="001A1FDE">
            <w:pPr>
              <w:jc w:val="center"/>
              <w:rPr>
                <w:rFonts w:asciiTheme="minorHAnsi" w:eastAsiaTheme="majorEastAsia" w:hAnsiTheme="minorHAnsi" w:cstheme="majorBidi"/>
                <w:b/>
                <w:color w:val="FFFFFF" w:themeColor="background1"/>
                <w:sz w:val="22"/>
                <w:szCs w:val="22"/>
              </w:rPr>
            </w:pPr>
            <w:r w:rsidRPr="00FF7A70">
              <w:rPr>
                <w:rFonts w:asciiTheme="minorHAnsi" w:eastAsiaTheme="majorEastAsia" w:hAnsiTheme="minorHAnsi" w:cstheme="majorBidi"/>
                <w:b/>
                <w:color w:val="FFFFFF" w:themeColor="background1"/>
                <w:sz w:val="22"/>
                <w:szCs w:val="22"/>
              </w:rPr>
              <w:t>edificio</w:t>
            </w:r>
          </w:p>
        </w:tc>
        <w:tc>
          <w:tcPr>
            <w:tcW w:w="1418" w:type="dxa"/>
            <w:tcBorders>
              <w:left w:val="single" w:sz="6" w:space="0" w:color="9BBB59" w:themeColor="accent3"/>
              <w:right w:val="single" w:sz="6" w:space="0" w:color="9BBB59" w:themeColor="accent3"/>
            </w:tcBorders>
            <w:shd w:val="clear" w:color="auto" w:fill="A6A6A6" w:themeFill="background1" w:themeFillShade="A6"/>
          </w:tcPr>
          <w:p w:rsidR="00FF7A70" w:rsidRPr="00FF7A70" w:rsidRDefault="00FF7A70" w:rsidP="001A1FDE">
            <w:pPr>
              <w:jc w:val="center"/>
              <w:rPr>
                <w:rFonts w:asciiTheme="minorHAnsi" w:eastAsiaTheme="majorEastAsia" w:hAnsiTheme="minorHAnsi" w:cstheme="majorBidi"/>
                <w:b/>
                <w:color w:val="FFFFFF" w:themeColor="background1"/>
                <w:sz w:val="22"/>
                <w:szCs w:val="22"/>
              </w:rPr>
            </w:pPr>
            <w:r w:rsidRPr="00FF7A70">
              <w:rPr>
                <w:rFonts w:asciiTheme="minorHAnsi" w:eastAsiaTheme="majorEastAsia" w:hAnsiTheme="minorHAnsi" w:cstheme="majorBidi"/>
                <w:b/>
                <w:color w:val="FFFFFF" w:themeColor="background1"/>
                <w:sz w:val="22"/>
                <w:szCs w:val="22"/>
              </w:rPr>
              <w:t>informática</w:t>
            </w:r>
          </w:p>
        </w:tc>
        <w:tc>
          <w:tcPr>
            <w:tcW w:w="1417" w:type="dxa"/>
            <w:tcBorders>
              <w:left w:val="single" w:sz="6" w:space="0" w:color="9BBB59" w:themeColor="accent3"/>
              <w:right w:val="single" w:sz="6" w:space="0" w:color="9BBB59" w:themeColor="accent3"/>
            </w:tcBorders>
            <w:shd w:val="clear" w:color="auto" w:fill="A6A6A6" w:themeFill="background1" w:themeFillShade="A6"/>
          </w:tcPr>
          <w:p w:rsidR="00FF7A70" w:rsidRPr="00FF7A70" w:rsidRDefault="00FF7A70" w:rsidP="001A1FDE">
            <w:pPr>
              <w:jc w:val="center"/>
              <w:rPr>
                <w:rFonts w:asciiTheme="minorHAnsi" w:eastAsiaTheme="majorEastAsia" w:hAnsiTheme="minorHAnsi" w:cstheme="majorBidi"/>
                <w:b/>
                <w:color w:val="FFFFFF" w:themeColor="background1"/>
                <w:sz w:val="22"/>
                <w:szCs w:val="22"/>
              </w:rPr>
            </w:pPr>
            <w:r w:rsidRPr="00FF7A70">
              <w:rPr>
                <w:rFonts w:asciiTheme="minorHAnsi" w:eastAsiaTheme="majorEastAsia" w:hAnsiTheme="minorHAnsi" w:cstheme="majorBidi"/>
                <w:b/>
                <w:color w:val="FFFFFF" w:themeColor="background1"/>
                <w:sz w:val="22"/>
                <w:szCs w:val="22"/>
              </w:rPr>
              <w:t>Estanterías</w:t>
            </w:r>
          </w:p>
        </w:tc>
        <w:tc>
          <w:tcPr>
            <w:tcW w:w="1204" w:type="dxa"/>
            <w:tcBorders>
              <w:left w:val="single" w:sz="6" w:space="0" w:color="9BBB59" w:themeColor="accent3"/>
            </w:tcBorders>
            <w:shd w:val="clear" w:color="auto" w:fill="A6A6A6" w:themeFill="background1" w:themeFillShade="A6"/>
          </w:tcPr>
          <w:p w:rsidR="00FF7A70" w:rsidRPr="00FF7A70" w:rsidRDefault="00FF7A70" w:rsidP="001A1FDE">
            <w:pPr>
              <w:jc w:val="center"/>
              <w:rPr>
                <w:rFonts w:asciiTheme="minorHAnsi" w:eastAsiaTheme="majorEastAsia" w:hAnsiTheme="minorHAnsi" w:cstheme="majorBidi"/>
                <w:b/>
                <w:color w:val="FFFFFF" w:themeColor="background1"/>
                <w:sz w:val="22"/>
                <w:szCs w:val="22"/>
              </w:rPr>
            </w:pPr>
            <w:r w:rsidRPr="00FF7A70">
              <w:rPr>
                <w:rFonts w:asciiTheme="minorHAnsi" w:eastAsiaTheme="majorEastAsia" w:hAnsiTheme="minorHAnsi" w:cstheme="majorBidi"/>
                <w:b/>
                <w:color w:val="FFFFFF" w:themeColor="background1"/>
                <w:sz w:val="22"/>
                <w:szCs w:val="22"/>
              </w:rPr>
              <w:t>carretillas</w:t>
            </w:r>
          </w:p>
        </w:tc>
      </w:tr>
      <w:tr w:rsidR="00FF7A70" w:rsidRPr="00FF7A70" w:rsidTr="001A1FDE">
        <w:tc>
          <w:tcPr>
            <w:tcW w:w="3756" w:type="dxa"/>
            <w:shd w:val="clear" w:color="auto" w:fill="A6A6A6" w:themeFill="background1" w:themeFillShade="A6"/>
          </w:tcPr>
          <w:p w:rsidR="00FF7A70" w:rsidRPr="00FF7A70" w:rsidRDefault="00FF7A70" w:rsidP="001A1FDE">
            <w:pPr>
              <w:rPr>
                <w:rFonts w:asciiTheme="minorHAnsi" w:eastAsiaTheme="majorEastAsia" w:hAnsiTheme="minorHAnsi" w:cstheme="majorBidi"/>
                <w:b/>
                <w:color w:val="FFFFFF" w:themeColor="background1"/>
                <w:sz w:val="22"/>
                <w:szCs w:val="22"/>
              </w:rPr>
            </w:pPr>
            <w:r w:rsidRPr="00FF7A70">
              <w:rPr>
                <w:rFonts w:asciiTheme="minorHAnsi" w:eastAsiaTheme="majorEastAsia" w:hAnsiTheme="minorHAnsi" w:cstheme="majorBidi"/>
                <w:b/>
                <w:color w:val="FFFFFF" w:themeColor="background1"/>
                <w:sz w:val="22"/>
                <w:szCs w:val="22"/>
              </w:rPr>
              <w:t>contabilidad tradicional</w:t>
            </w:r>
          </w:p>
        </w:tc>
        <w:tc>
          <w:tcPr>
            <w:tcW w:w="992" w:type="dxa"/>
            <w:shd w:val="clear" w:color="auto" w:fill="FFFFFF" w:themeFill="background1"/>
          </w:tcPr>
          <w:p w:rsidR="00FF7A70" w:rsidRPr="00FF7A70" w:rsidRDefault="00FF7A70" w:rsidP="001A1FDE">
            <w:pPr>
              <w:jc w:val="center"/>
              <w:rPr>
                <w:rFonts w:asciiTheme="minorHAnsi" w:eastAsiaTheme="majorEastAsia" w:hAnsiTheme="minorHAnsi" w:cstheme="majorBidi"/>
                <w:color w:val="000000"/>
                <w:sz w:val="22"/>
                <w:szCs w:val="22"/>
              </w:rPr>
            </w:pPr>
            <w:r w:rsidRPr="00FF7A70">
              <w:rPr>
                <w:rFonts w:asciiTheme="minorHAnsi" w:eastAsiaTheme="majorEastAsia" w:hAnsiTheme="minorHAnsi" w:cstheme="majorBidi"/>
                <w:color w:val="000000"/>
                <w:sz w:val="22"/>
                <w:szCs w:val="22"/>
              </w:rPr>
              <w:t>0</w:t>
            </w:r>
          </w:p>
        </w:tc>
        <w:tc>
          <w:tcPr>
            <w:tcW w:w="992" w:type="dxa"/>
            <w:shd w:val="clear" w:color="auto" w:fill="FFFFFF" w:themeFill="background1"/>
          </w:tcPr>
          <w:p w:rsidR="00FF7A70" w:rsidRPr="00FF7A70" w:rsidRDefault="00FF7A70" w:rsidP="001A1FDE">
            <w:pPr>
              <w:jc w:val="center"/>
              <w:rPr>
                <w:rFonts w:asciiTheme="minorHAnsi" w:eastAsiaTheme="majorEastAsia" w:hAnsiTheme="minorHAnsi" w:cstheme="majorBidi"/>
                <w:color w:val="000000"/>
                <w:sz w:val="22"/>
                <w:szCs w:val="22"/>
              </w:rPr>
            </w:pPr>
            <w:r w:rsidRPr="00FF7A70">
              <w:rPr>
                <w:rFonts w:asciiTheme="minorHAnsi" w:eastAsiaTheme="majorEastAsia" w:hAnsiTheme="minorHAnsi" w:cstheme="majorBidi"/>
                <w:color w:val="000000"/>
                <w:sz w:val="22"/>
                <w:szCs w:val="22"/>
              </w:rPr>
              <w:t>3</w:t>
            </w:r>
          </w:p>
        </w:tc>
        <w:tc>
          <w:tcPr>
            <w:tcW w:w="1418" w:type="dxa"/>
            <w:shd w:val="clear" w:color="auto" w:fill="FFFFFF" w:themeFill="background1"/>
          </w:tcPr>
          <w:p w:rsidR="00FF7A70" w:rsidRPr="00FF7A70" w:rsidRDefault="00FF7A70" w:rsidP="001A1FDE">
            <w:pPr>
              <w:jc w:val="center"/>
              <w:rPr>
                <w:rFonts w:asciiTheme="minorHAnsi" w:eastAsiaTheme="majorEastAsia" w:hAnsiTheme="minorHAnsi" w:cstheme="majorBidi"/>
                <w:color w:val="000000"/>
                <w:sz w:val="22"/>
                <w:szCs w:val="22"/>
              </w:rPr>
            </w:pPr>
            <w:r w:rsidRPr="00FF7A70">
              <w:rPr>
                <w:rFonts w:asciiTheme="minorHAnsi" w:eastAsiaTheme="majorEastAsia" w:hAnsiTheme="minorHAnsi" w:cstheme="majorBidi"/>
                <w:color w:val="000000"/>
                <w:sz w:val="22"/>
                <w:szCs w:val="22"/>
              </w:rPr>
              <w:t>25</w:t>
            </w:r>
          </w:p>
        </w:tc>
        <w:tc>
          <w:tcPr>
            <w:tcW w:w="1417" w:type="dxa"/>
            <w:shd w:val="clear" w:color="auto" w:fill="FFFFFF" w:themeFill="background1"/>
          </w:tcPr>
          <w:p w:rsidR="00FF7A70" w:rsidRPr="00FF7A70" w:rsidRDefault="00FF7A70" w:rsidP="001A1FDE">
            <w:pPr>
              <w:jc w:val="center"/>
              <w:rPr>
                <w:rFonts w:asciiTheme="minorHAnsi" w:eastAsiaTheme="majorEastAsia" w:hAnsiTheme="minorHAnsi" w:cstheme="majorBidi"/>
                <w:color w:val="000000"/>
                <w:sz w:val="22"/>
                <w:szCs w:val="22"/>
              </w:rPr>
            </w:pPr>
            <w:r w:rsidRPr="00FF7A70">
              <w:rPr>
                <w:rFonts w:asciiTheme="minorHAnsi" w:eastAsiaTheme="majorEastAsia" w:hAnsiTheme="minorHAnsi" w:cstheme="majorBidi"/>
                <w:color w:val="000000"/>
                <w:sz w:val="22"/>
                <w:szCs w:val="22"/>
              </w:rPr>
              <w:t>4</w:t>
            </w:r>
          </w:p>
        </w:tc>
        <w:tc>
          <w:tcPr>
            <w:tcW w:w="1204" w:type="dxa"/>
            <w:shd w:val="clear" w:color="auto" w:fill="FFFFFF" w:themeFill="background1"/>
          </w:tcPr>
          <w:p w:rsidR="00FF7A70" w:rsidRPr="00FF7A70" w:rsidRDefault="00FF7A70" w:rsidP="001A1FDE">
            <w:pPr>
              <w:jc w:val="center"/>
              <w:rPr>
                <w:rFonts w:asciiTheme="minorHAnsi" w:eastAsiaTheme="majorEastAsia" w:hAnsiTheme="minorHAnsi" w:cstheme="majorBidi"/>
                <w:color w:val="000000"/>
                <w:sz w:val="22"/>
                <w:szCs w:val="22"/>
              </w:rPr>
            </w:pPr>
            <w:r w:rsidRPr="00FF7A70">
              <w:rPr>
                <w:rFonts w:asciiTheme="minorHAnsi" w:eastAsiaTheme="majorEastAsia" w:hAnsiTheme="minorHAnsi" w:cstheme="majorBidi"/>
                <w:color w:val="000000"/>
                <w:sz w:val="22"/>
                <w:szCs w:val="22"/>
              </w:rPr>
              <w:t>20</w:t>
            </w:r>
          </w:p>
        </w:tc>
      </w:tr>
      <w:tr w:rsidR="00FF7A70" w:rsidRPr="00FF7A70" w:rsidTr="001A1FDE">
        <w:tc>
          <w:tcPr>
            <w:tcW w:w="3756" w:type="dxa"/>
            <w:tcBorders>
              <w:right w:val="single" w:sz="6" w:space="0" w:color="9BBB59" w:themeColor="accent3"/>
            </w:tcBorders>
            <w:shd w:val="clear" w:color="auto" w:fill="A6A6A6" w:themeFill="background1" w:themeFillShade="A6"/>
          </w:tcPr>
          <w:p w:rsidR="00FF7A70" w:rsidRPr="00FF7A70" w:rsidRDefault="00FF7A70" w:rsidP="001A1FDE">
            <w:pPr>
              <w:pStyle w:val="Ttulo5"/>
              <w:rPr>
                <w:rFonts w:asciiTheme="minorHAnsi" w:eastAsiaTheme="majorEastAsia" w:hAnsiTheme="minorHAnsi" w:cstheme="majorBidi"/>
                <w:b/>
                <w:color w:val="FFFFFF" w:themeColor="background1"/>
                <w:sz w:val="22"/>
                <w:szCs w:val="22"/>
              </w:rPr>
            </w:pPr>
            <w:r w:rsidRPr="00FF7A70">
              <w:rPr>
                <w:rFonts w:asciiTheme="minorHAnsi" w:eastAsiaTheme="majorEastAsia" w:hAnsiTheme="minorHAnsi" w:cstheme="majorBidi"/>
                <w:color w:val="FFFFFF" w:themeColor="background1"/>
                <w:sz w:val="22"/>
                <w:szCs w:val="22"/>
              </w:rPr>
              <w:t>costos oportunidad</w:t>
            </w:r>
          </w:p>
        </w:tc>
        <w:tc>
          <w:tcPr>
            <w:tcW w:w="992" w:type="dxa"/>
            <w:tcBorders>
              <w:left w:val="single" w:sz="6" w:space="0" w:color="9BBB59" w:themeColor="accent3"/>
              <w:right w:val="single" w:sz="6" w:space="0" w:color="9BBB59" w:themeColor="accent3"/>
            </w:tcBorders>
            <w:shd w:val="clear" w:color="auto" w:fill="D9D9D9" w:themeFill="background1" w:themeFillShade="D9"/>
          </w:tcPr>
          <w:p w:rsidR="00FF7A70" w:rsidRPr="00FF7A70" w:rsidRDefault="00FF7A70" w:rsidP="001A1FDE">
            <w:pPr>
              <w:jc w:val="center"/>
              <w:rPr>
                <w:rFonts w:asciiTheme="minorHAnsi" w:eastAsiaTheme="majorEastAsia" w:hAnsiTheme="minorHAnsi" w:cstheme="majorBidi"/>
                <w:color w:val="000000"/>
                <w:sz w:val="22"/>
                <w:szCs w:val="22"/>
              </w:rPr>
            </w:pPr>
            <w:r w:rsidRPr="00FF7A70">
              <w:rPr>
                <w:rFonts w:asciiTheme="minorHAnsi" w:eastAsiaTheme="majorEastAsia" w:hAnsiTheme="minorHAnsi" w:cstheme="majorBidi"/>
                <w:color w:val="000000"/>
                <w:sz w:val="22"/>
                <w:szCs w:val="22"/>
              </w:rPr>
              <w:t>3</w:t>
            </w:r>
          </w:p>
        </w:tc>
        <w:tc>
          <w:tcPr>
            <w:tcW w:w="992" w:type="dxa"/>
            <w:tcBorders>
              <w:left w:val="single" w:sz="6" w:space="0" w:color="9BBB59" w:themeColor="accent3"/>
              <w:right w:val="single" w:sz="6" w:space="0" w:color="9BBB59" w:themeColor="accent3"/>
            </w:tcBorders>
            <w:shd w:val="clear" w:color="auto" w:fill="D9D9D9" w:themeFill="background1" w:themeFillShade="D9"/>
          </w:tcPr>
          <w:p w:rsidR="00FF7A70" w:rsidRPr="00FF7A70" w:rsidRDefault="00FF7A70" w:rsidP="001A1FDE">
            <w:pPr>
              <w:jc w:val="center"/>
              <w:rPr>
                <w:rFonts w:asciiTheme="minorHAnsi" w:eastAsiaTheme="majorEastAsia" w:hAnsiTheme="minorHAnsi" w:cstheme="majorBidi"/>
                <w:color w:val="000000"/>
                <w:sz w:val="22"/>
                <w:szCs w:val="22"/>
              </w:rPr>
            </w:pPr>
            <w:r w:rsidRPr="00FF7A70">
              <w:rPr>
                <w:rFonts w:asciiTheme="minorHAnsi" w:eastAsiaTheme="majorEastAsia" w:hAnsiTheme="minorHAnsi" w:cstheme="majorBidi"/>
                <w:color w:val="000000"/>
                <w:sz w:val="22"/>
                <w:szCs w:val="22"/>
              </w:rPr>
              <w:t>3</w:t>
            </w:r>
          </w:p>
        </w:tc>
        <w:tc>
          <w:tcPr>
            <w:tcW w:w="1418" w:type="dxa"/>
            <w:tcBorders>
              <w:left w:val="single" w:sz="6" w:space="0" w:color="9BBB59" w:themeColor="accent3"/>
              <w:right w:val="single" w:sz="6" w:space="0" w:color="9BBB59" w:themeColor="accent3"/>
            </w:tcBorders>
            <w:shd w:val="clear" w:color="auto" w:fill="D9D9D9" w:themeFill="background1" w:themeFillShade="D9"/>
          </w:tcPr>
          <w:p w:rsidR="00FF7A70" w:rsidRPr="00FF7A70" w:rsidRDefault="00FF7A70" w:rsidP="001A1FDE">
            <w:pPr>
              <w:jc w:val="center"/>
              <w:rPr>
                <w:rFonts w:asciiTheme="minorHAnsi" w:eastAsiaTheme="majorEastAsia" w:hAnsiTheme="minorHAnsi" w:cstheme="majorBidi"/>
                <w:color w:val="000000"/>
                <w:sz w:val="22"/>
                <w:szCs w:val="22"/>
              </w:rPr>
            </w:pPr>
            <w:r w:rsidRPr="00FF7A70">
              <w:rPr>
                <w:rFonts w:asciiTheme="minorHAnsi" w:eastAsiaTheme="majorEastAsia" w:hAnsiTheme="minorHAnsi" w:cstheme="majorBidi"/>
                <w:color w:val="000000"/>
                <w:sz w:val="22"/>
                <w:szCs w:val="22"/>
              </w:rPr>
              <w:t>25</w:t>
            </w:r>
          </w:p>
        </w:tc>
        <w:tc>
          <w:tcPr>
            <w:tcW w:w="1417" w:type="dxa"/>
            <w:tcBorders>
              <w:left w:val="single" w:sz="6" w:space="0" w:color="9BBB59" w:themeColor="accent3"/>
              <w:right w:val="single" w:sz="6" w:space="0" w:color="9BBB59" w:themeColor="accent3"/>
            </w:tcBorders>
            <w:shd w:val="clear" w:color="auto" w:fill="D9D9D9" w:themeFill="background1" w:themeFillShade="D9"/>
          </w:tcPr>
          <w:p w:rsidR="00FF7A70" w:rsidRPr="00FF7A70" w:rsidRDefault="00FF7A70" w:rsidP="001A1FDE">
            <w:pPr>
              <w:jc w:val="center"/>
              <w:rPr>
                <w:rFonts w:asciiTheme="minorHAnsi" w:eastAsiaTheme="majorEastAsia" w:hAnsiTheme="minorHAnsi" w:cstheme="majorBidi"/>
                <w:color w:val="000000"/>
                <w:sz w:val="22"/>
                <w:szCs w:val="22"/>
              </w:rPr>
            </w:pPr>
            <w:r w:rsidRPr="00FF7A70">
              <w:rPr>
                <w:rFonts w:asciiTheme="minorHAnsi" w:eastAsiaTheme="majorEastAsia" w:hAnsiTheme="minorHAnsi" w:cstheme="majorBidi"/>
                <w:color w:val="000000"/>
                <w:sz w:val="22"/>
                <w:szCs w:val="22"/>
              </w:rPr>
              <w:t>4</w:t>
            </w:r>
          </w:p>
        </w:tc>
        <w:tc>
          <w:tcPr>
            <w:tcW w:w="1204" w:type="dxa"/>
            <w:tcBorders>
              <w:left w:val="single" w:sz="6" w:space="0" w:color="9BBB59" w:themeColor="accent3"/>
            </w:tcBorders>
            <w:shd w:val="clear" w:color="auto" w:fill="D9D9D9" w:themeFill="background1" w:themeFillShade="D9"/>
          </w:tcPr>
          <w:p w:rsidR="00FF7A70" w:rsidRPr="00FF7A70" w:rsidRDefault="00FF7A70" w:rsidP="001A1FDE">
            <w:pPr>
              <w:jc w:val="center"/>
              <w:rPr>
                <w:rFonts w:asciiTheme="minorHAnsi" w:eastAsiaTheme="majorEastAsia" w:hAnsiTheme="minorHAnsi" w:cstheme="majorBidi"/>
                <w:color w:val="000000"/>
                <w:sz w:val="22"/>
                <w:szCs w:val="22"/>
              </w:rPr>
            </w:pPr>
            <w:r w:rsidRPr="00FF7A70">
              <w:rPr>
                <w:rFonts w:asciiTheme="minorHAnsi" w:eastAsiaTheme="majorEastAsia" w:hAnsiTheme="minorHAnsi" w:cstheme="majorBidi"/>
                <w:color w:val="000000"/>
                <w:sz w:val="22"/>
                <w:szCs w:val="22"/>
              </w:rPr>
              <w:t>20</w:t>
            </w:r>
          </w:p>
        </w:tc>
      </w:tr>
    </w:tbl>
    <w:p w:rsidR="00FF7A70" w:rsidRPr="00FF7A70" w:rsidRDefault="00FF7A70" w:rsidP="00FF7A70">
      <w:pPr>
        <w:numPr>
          <w:ilvl w:val="12"/>
          <w:numId w:val="0"/>
        </w:numPr>
        <w:ind w:left="283" w:hanging="283"/>
        <w:rPr>
          <w:rFonts w:asciiTheme="minorHAnsi" w:hAnsiTheme="minorHAnsi"/>
          <w:b/>
          <w:sz w:val="22"/>
          <w:szCs w:val="22"/>
          <w:u w:val="single"/>
        </w:rPr>
      </w:pPr>
    </w:p>
    <w:p w:rsidR="00FF7A70" w:rsidRPr="00FF7A70" w:rsidRDefault="00FF7A70" w:rsidP="00FF7A70">
      <w:pPr>
        <w:rPr>
          <w:rFonts w:asciiTheme="minorHAnsi" w:hAnsiTheme="minorHAnsi"/>
          <w:b/>
          <w:bCs/>
          <w:sz w:val="22"/>
          <w:szCs w:val="22"/>
        </w:rPr>
      </w:pPr>
      <w:r w:rsidRPr="00FF7A70">
        <w:rPr>
          <w:rFonts w:asciiTheme="minorHAnsi" w:hAnsiTheme="minorHAnsi"/>
          <w:b/>
          <w:bCs/>
          <w:sz w:val="22"/>
          <w:szCs w:val="22"/>
        </w:rPr>
        <w:t>3.- datos originales</w:t>
      </w:r>
    </w:p>
    <w:p w:rsidR="00FF7A70" w:rsidRPr="00FF7A70" w:rsidRDefault="00FF7A70" w:rsidP="00FF7A70">
      <w:pPr>
        <w:rPr>
          <w:rFonts w:asciiTheme="minorHAnsi" w:hAnsiTheme="minorHAnsi"/>
          <w:i/>
          <w:sz w:val="22"/>
          <w:szCs w:val="22"/>
          <w:u w:val="single"/>
        </w:rPr>
      </w:pPr>
      <w:r w:rsidRPr="00FF7A70">
        <w:rPr>
          <w:rFonts w:asciiTheme="minorHAnsi" w:hAnsiTheme="minorHAnsi"/>
          <w:i/>
          <w:sz w:val="22"/>
          <w:szCs w:val="22"/>
          <w:u w:val="single"/>
        </w:rPr>
        <w:t>Hoja 'esquema'</w:t>
      </w:r>
    </w:p>
    <w:p w:rsidR="00FF7A70" w:rsidRPr="00FF7A70" w:rsidRDefault="00FF7A70" w:rsidP="00FF7A70">
      <w:pPr>
        <w:ind w:left="709"/>
        <w:rPr>
          <w:rFonts w:asciiTheme="minorHAnsi" w:hAnsiTheme="minorHAnsi"/>
          <w:sz w:val="22"/>
          <w:szCs w:val="22"/>
        </w:rPr>
      </w:pPr>
      <w:r w:rsidRPr="00FF7A70">
        <w:rPr>
          <w:rFonts w:asciiTheme="minorHAnsi" w:hAnsiTheme="minorHAnsi"/>
          <w:sz w:val="22"/>
          <w:szCs w:val="22"/>
        </w:rPr>
        <w:t>Es una hoja de cálculo que contiene un esquema de costos de distribución. Hay que rellenarla en base a los datos suministrados previamente.</w:t>
      </w:r>
    </w:p>
    <w:p w:rsidR="00FF7A70" w:rsidRPr="00FF7A70" w:rsidRDefault="00FF7A70" w:rsidP="00FF7A70">
      <w:pPr>
        <w:ind w:left="708"/>
        <w:rPr>
          <w:rFonts w:asciiTheme="minorHAnsi" w:hAnsiTheme="minorHAnsi"/>
          <w:b/>
          <w:color w:val="FF0000"/>
          <w:sz w:val="22"/>
          <w:szCs w:val="22"/>
          <w:u w:val="single"/>
        </w:rPr>
      </w:pPr>
    </w:p>
    <w:p w:rsidR="00FF7A70" w:rsidRPr="00FF7A70" w:rsidRDefault="00FF7A70" w:rsidP="00FF7A70">
      <w:pPr>
        <w:rPr>
          <w:rFonts w:asciiTheme="minorHAnsi" w:hAnsiTheme="minorHAnsi"/>
          <w:b/>
          <w:bCs/>
          <w:sz w:val="22"/>
          <w:szCs w:val="22"/>
          <w:u w:val="single"/>
        </w:rPr>
      </w:pPr>
      <w:r w:rsidRPr="00FF7A70">
        <w:rPr>
          <w:rFonts w:asciiTheme="minorHAnsi" w:hAnsiTheme="minorHAnsi"/>
          <w:b/>
          <w:bCs/>
          <w:sz w:val="22"/>
          <w:szCs w:val="22"/>
          <w:u w:val="single"/>
        </w:rPr>
        <w:t>4.- procedimiento</w:t>
      </w:r>
    </w:p>
    <w:p w:rsidR="00FF7A70" w:rsidRPr="00FF7A70" w:rsidRDefault="00FF7A70" w:rsidP="00FF7A70">
      <w:pPr>
        <w:rPr>
          <w:rFonts w:asciiTheme="minorHAnsi" w:hAnsiTheme="minorHAnsi"/>
          <w:sz w:val="22"/>
          <w:szCs w:val="22"/>
        </w:rPr>
      </w:pPr>
      <w:r w:rsidRPr="00FF7A70">
        <w:rPr>
          <w:rFonts w:asciiTheme="minorHAnsi" w:hAnsiTheme="minorHAnsi"/>
          <w:sz w:val="22"/>
          <w:szCs w:val="22"/>
        </w:rPr>
        <w:t xml:space="preserve">Calcule el </w:t>
      </w:r>
      <w:r w:rsidRPr="00FF7A70">
        <w:rPr>
          <w:rFonts w:asciiTheme="minorHAnsi" w:hAnsiTheme="minorHAnsi"/>
          <w:bCs/>
          <w:i/>
          <w:sz w:val="22"/>
          <w:szCs w:val="22"/>
          <w:u w:val="single"/>
        </w:rPr>
        <w:t>costo logístico ‘interno’</w:t>
      </w:r>
      <w:r w:rsidRPr="00FF7A70">
        <w:rPr>
          <w:rFonts w:asciiTheme="minorHAnsi" w:hAnsiTheme="minorHAnsi"/>
          <w:sz w:val="22"/>
          <w:szCs w:val="22"/>
        </w:rPr>
        <w:t xml:space="preserve">, es decir, el coste logístico de almacenamiento (excluido el costo de picking y el coste de transporte, que intervendrá a nivel de costo/cliente o costo logístico externo,) -  de 1 kilogramo de pintura, según el índice rotación. Es decir, el esquema es el siguiente: </w:t>
      </w:r>
    </w:p>
    <w:p w:rsidR="00FF7A70" w:rsidRDefault="00FF7A70" w:rsidP="00FF7A70">
      <w:pPr>
        <w:rPr>
          <w:rFonts w:asciiTheme="minorHAnsi" w:hAnsiTheme="minorHAnsi"/>
          <w:i/>
          <w:sz w:val="22"/>
          <w:szCs w:val="22"/>
          <w:u w:val="single"/>
        </w:rPr>
      </w:pPr>
    </w:p>
    <w:p w:rsidR="00FF7A70" w:rsidRPr="00FF7A70" w:rsidRDefault="00FF7A70" w:rsidP="00FF7A70">
      <w:pPr>
        <w:rPr>
          <w:rFonts w:asciiTheme="minorHAnsi" w:hAnsiTheme="minorHAnsi"/>
          <w:sz w:val="22"/>
          <w:szCs w:val="22"/>
        </w:rPr>
      </w:pPr>
      <w:r w:rsidRPr="00FF7A70">
        <w:rPr>
          <w:rFonts w:asciiTheme="minorHAnsi" w:hAnsiTheme="minorHAnsi"/>
          <w:i/>
          <w:sz w:val="22"/>
          <w:szCs w:val="22"/>
          <w:u w:val="single"/>
        </w:rPr>
        <w:t>‘costo logístico interno’</w:t>
      </w:r>
      <w:r w:rsidRPr="00FF7A70">
        <w:rPr>
          <w:rFonts w:asciiTheme="minorHAnsi" w:hAnsiTheme="minorHAnsi"/>
          <w:sz w:val="22"/>
          <w:szCs w:val="22"/>
        </w:rPr>
        <w:t xml:space="preserve"> debe calcular la siguiente tabla:</w:t>
      </w:r>
    </w:p>
    <w:p w:rsidR="00FF7A70" w:rsidRPr="00FF7A70" w:rsidRDefault="00FF7A70" w:rsidP="00FF7A70">
      <w:pPr>
        <w:rPr>
          <w:rFonts w:asciiTheme="minorHAnsi" w:hAnsiTheme="minorHAnsi"/>
          <w:sz w:val="22"/>
          <w:szCs w:val="22"/>
        </w:rPr>
      </w:pPr>
    </w:p>
    <w:tbl>
      <w:tblPr>
        <w:tblpPr w:leftFromText="141" w:rightFromText="141" w:vertAnchor="text" w:horzAnchor="page" w:tblpX="1847" w:tblpY="-49"/>
        <w:tblW w:w="0" w:type="auto"/>
        <w:tblBorders>
          <w:insideH w:val="single" w:sz="4" w:space="0" w:color="FFFFFF"/>
        </w:tblBorders>
        <w:tblLook w:val="0000"/>
      </w:tblPr>
      <w:tblGrid>
        <w:gridCol w:w="1668"/>
        <w:gridCol w:w="2693"/>
        <w:gridCol w:w="2410"/>
      </w:tblGrid>
      <w:tr w:rsidR="00FF7A70" w:rsidRPr="00FF7A70" w:rsidTr="001A1FDE">
        <w:trPr>
          <w:trHeight w:val="340"/>
        </w:trPr>
        <w:tc>
          <w:tcPr>
            <w:tcW w:w="1668" w:type="dxa"/>
            <w:shd w:val="clear" w:color="auto" w:fill="A6A6A6" w:themeFill="background1" w:themeFillShade="A6"/>
          </w:tcPr>
          <w:p w:rsidR="00FF7A70" w:rsidRPr="00FF7A70" w:rsidRDefault="00FF7A70" w:rsidP="001A1FDE">
            <w:pPr>
              <w:rPr>
                <w:rFonts w:asciiTheme="minorHAnsi" w:hAnsiTheme="minorHAnsi"/>
                <w:b/>
                <w:color w:val="FFFFFF" w:themeColor="background1"/>
                <w:sz w:val="22"/>
                <w:szCs w:val="22"/>
              </w:rPr>
            </w:pPr>
          </w:p>
        </w:tc>
        <w:tc>
          <w:tcPr>
            <w:tcW w:w="2693" w:type="dxa"/>
            <w:shd w:val="clear" w:color="auto" w:fill="A6A6A6" w:themeFill="background1" w:themeFillShade="A6"/>
          </w:tcPr>
          <w:p w:rsidR="00FF7A70" w:rsidRPr="00FF7A70" w:rsidRDefault="00FF7A70" w:rsidP="001A1FDE">
            <w:pPr>
              <w:jc w:val="center"/>
              <w:rPr>
                <w:rFonts w:asciiTheme="minorHAnsi" w:hAnsiTheme="minorHAnsi"/>
                <w:b/>
                <w:color w:val="FFFFFF" w:themeColor="background1"/>
                <w:sz w:val="22"/>
                <w:szCs w:val="22"/>
              </w:rPr>
            </w:pPr>
            <w:r w:rsidRPr="00FF7A70">
              <w:rPr>
                <w:rFonts w:asciiTheme="minorHAnsi" w:hAnsiTheme="minorHAnsi"/>
                <w:b/>
                <w:color w:val="FFFFFF" w:themeColor="background1"/>
                <w:sz w:val="22"/>
                <w:szCs w:val="22"/>
              </w:rPr>
              <w:t>contabilidad tradicional</w:t>
            </w:r>
          </w:p>
        </w:tc>
        <w:tc>
          <w:tcPr>
            <w:tcW w:w="2410" w:type="dxa"/>
            <w:shd w:val="clear" w:color="auto" w:fill="A6A6A6" w:themeFill="background1" w:themeFillShade="A6"/>
          </w:tcPr>
          <w:p w:rsidR="00FF7A70" w:rsidRPr="00FF7A70" w:rsidRDefault="00FF7A70" w:rsidP="001A1FDE">
            <w:pPr>
              <w:jc w:val="center"/>
              <w:rPr>
                <w:rFonts w:asciiTheme="minorHAnsi" w:hAnsiTheme="minorHAnsi"/>
                <w:b/>
                <w:color w:val="FFFFFF" w:themeColor="background1"/>
                <w:sz w:val="22"/>
                <w:szCs w:val="22"/>
              </w:rPr>
            </w:pPr>
            <w:r w:rsidRPr="00FF7A70">
              <w:rPr>
                <w:rFonts w:asciiTheme="minorHAnsi" w:hAnsiTheme="minorHAnsi"/>
                <w:b/>
                <w:color w:val="FFFFFF" w:themeColor="background1"/>
                <w:sz w:val="22"/>
                <w:szCs w:val="22"/>
              </w:rPr>
              <w:t>contabilidad de costos</w:t>
            </w:r>
          </w:p>
        </w:tc>
      </w:tr>
      <w:tr w:rsidR="00FF7A70" w:rsidRPr="00FF7A70" w:rsidTr="001A1FDE">
        <w:trPr>
          <w:trHeight w:val="340"/>
        </w:trPr>
        <w:tc>
          <w:tcPr>
            <w:tcW w:w="1668" w:type="dxa"/>
            <w:shd w:val="clear" w:color="auto" w:fill="A6A6A6" w:themeFill="background1" w:themeFillShade="A6"/>
          </w:tcPr>
          <w:p w:rsidR="00FF7A70" w:rsidRPr="00FF7A70" w:rsidRDefault="00FF7A70" w:rsidP="001A1FDE">
            <w:pPr>
              <w:rPr>
                <w:rFonts w:asciiTheme="minorHAnsi" w:hAnsiTheme="minorHAnsi"/>
                <w:b/>
                <w:color w:val="FFFFFF" w:themeColor="background1"/>
                <w:sz w:val="22"/>
                <w:szCs w:val="22"/>
              </w:rPr>
            </w:pPr>
            <w:r w:rsidRPr="00FF7A70">
              <w:rPr>
                <w:rFonts w:asciiTheme="minorHAnsi" w:hAnsiTheme="minorHAnsi"/>
                <w:b/>
                <w:color w:val="FFFFFF" w:themeColor="background1"/>
                <w:sz w:val="22"/>
                <w:szCs w:val="22"/>
              </w:rPr>
              <w:t>productos A</w:t>
            </w:r>
          </w:p>
        </w:tc>
        <w:tc>
          <w:tcPr>
            <w:tcW w:w="2693" w:type="dxa"/>
            <w:shd w:val="clear" w:color="auto" w:fill="FFFFFF" w:themeFill="background1"/>
          </w:tcPr>
          <w:p w:rsidR="00FF7A70" w:rsidRPr="00FF7A70" w:rsidRDefault="00FF7A70" w:rsidP="001A1FDE">
            <w:pPr>
              <w:rPr>
                <w:rFonts w:asciiTheme="minorHAnsi" w:hAnsiTheme="minorHAnsi"/>
                <w:color w:val="000000" w:themeColor="text1"/>
                <w:sz w:val="22"/>
                <w:szCs w:val="22"/>
              </w:rPr>
            </w:pPr>
          </w:p>
        </w:tc>
        <w:tc>
          <w:tcPr>
            <w:tcW w:w="2410" w:type="dxa"/>
            <w:shd w:val="clear" w:color="auto" w:fill="FFFFFF" w:themeFill="background1"/>
          </w:tcPr>
          <w:p w:rsidR="00FF7A70" w:rsidRPr="00FF7A70" w:rsidRDefault="00FF7A70" w:rsidP="001A1FDE">
            <w:pPr>
              <w:rPr>
                <w:rFonts w:asciiTheme="minorHAnsi" w:hAnsiTheme="minorHAnsi"/>
                <w:color w:val="000000" w:themeColor="text1"/>
                <w:sz w:val="22"/>
                <w:szCs w:val="22"/>
              </w:rPr>
            </w:pPr>
          </w:p>
        </w:tc>
      </w:tr>
      <w:tr w:rsidR="00FF7A70" w:rsidRPr="00FF7A70" w:rsidTr="001A1FDE">
        <w:trPr>
          <w:trHeight w:val="340"/>
        </w:trPr>
        <w:tc>
          <w:tcPr>
            <w:tcW w:w="1668" w:type="dxa"/>
            <w:shd w:val="clear" w:color="auto" w:fill="A6A6A6" w:themeFill="background1" w:themeFillShade="A6"/>
          </w:tcPr>
          <w:p w:rsidR="00FF7A70" w:rsidRPr="00FF7A70" w:rsidRDefault="00FF7A70" w:rsidP="001A1FDE">
            <w:pPr>
              <w:rPr>
                <w:rFonts w:asciiTheme="minorHAnsi" w:hAnsiTheme="minorHAnsi"/>
                <w:b/>
                <w:color w:val="FFFFFF" w:themeColor="background1"/>
                <w:sz w:val="22"/>
                <w:szCs w:val="22"/>
              </w:rPr>
            </w:pPr>
            <w:r w:rsidRPr="00FF7A70">
              <w:rPr>
                <w:rFonts w:asciiTheme="minorHAnsi" w:hAnsiTheme="minorHAnsi"/>
                <w:b/>
                <w:color w:val="FFFFFF" w:themeColor="background1"/>
                <w:sz w:val="22"/>
                <w:szCs w:val="22"/>
              </w:rPr>
              <w:t>productos B</w:t>
            </w:r>
          </w:p>
        </w:tc>
        <w:tc>
          <w:tcPr>
            <w:tcW w:w="2693" w:type="dxa"/>
            <w:shd w:val="clear" w:color="auto" w:fill="D9D9D9" w:themeFill="background1" w:themeFillShade="D9"/>
          </w:tcPr>
          <w:p w:rsidR="00FF7A70" w:rsidRPr="00FF7A70" w:rsidRDefault="00FF7A70" w:rsidP="001A1FDE">
            <w:pPr>
              <w:rPr>
                <w:rFonts w:asciiTheme="minorHAnsi" w:hAnsiTheme="minorHAnsi"/>
                <w:color w:val="000000" w:themeColor="text1"/>
                <w:sz w:val="22"/>
                <w:szCs w:val="22"/>
              </w:rPr>
            </w:pPr>
          </w:p>
        </w:tc>
        <w:tc>
          <w:tcPr>
            <w:tcW w:w="2410" w:type="dxa"/>
            <w:shd w:val="clear" w:color="auto" w:fill="D9D9D9" w:themeFill="background1" w:themeFillShade="D9"/>
          </w:tcPr>
          <w:p w:rsidR="00FF7A70" w:rsidRPr="00FF7A70" w:rsidRDefault="00FF7A70" w:rsidP="001A1FDE">
            <w:pPr>
              <w:rPr>
                <w:rFonts w:asciiTheme="minorHAnsi" w:hAnsiTheme="minorHAnsi"/>
                <w:color w:val="000000" w:themeColor="text1"/>
                <w:sz w:val="22"/>
                <w:szCs w:val="22"/>
              </w:rPr>
            </w:pPr>
          </w:p>
        </w:tc>
      </w:tr>
      <w:tr w:rsidR="00FF7A70" w:rsidRPr="00FF7A70" w:rsidTr="001A1FDE">
        <w:trPr>
          <w:trHeight w:val="340"/>
        </w:trPr>
        <w:tc>
          <w:tcPr>
            <w:tcW w:w="1668" w:type="dxa"/>
            <w:shd w:val="clear" w:color="auto" w:fill="A6A6A6" w:themeFill="background1" w:themeFillShade="A6"/>
          </w:tcPr>
          <w:p w:rsidR="00FF7A70" w:rsidRPr="00FF7A70" w:rsidRDefault="00FF7A70" w:rsidP="001A1FDE">
            <w:pPr>
              <w:rPr>
                <w:rFonts w:asciiTheme="minorHAnsi" w:hAnsiTheme="minorHAnsi"/>
                <w:b/>
                <w:color w:val="FFFFFF" w:themeColor="background1"/>
                <w:sz w:val="22"/>
                <w:szCs w:val="22"/>
              </w:rPr>
            </w:pPr>
            <w:r w:rsidRPr="00FF7A70">
              <w:rPr>
                <w:rFonts w:asciiTheme="minorHAnsi" w:hAnsiTheme="minorHAnsi"/>
                <w:b/>
                <w:color w:val="FFFFFF" w:themeColor="background1"/>
                <w:sz w:val="22"/>
                <w:szCs w:val="22"/>
              </w:rPr>
              <w:t>productos C</w:t>
            </w:r>
          </w:p>
        </w:tc>
        <w:tc>
          <w:tcPr>
            <w:tcW w:w="2693" w:type="dxa"/>
            <w:shd w:val="clear" w:color="auto" w:fill="FFFFFF" w:themeFill="background1"/>
          </w:tcPr>
          <w:p w:rsidR="00FF7A70" w:rsidRPr="00FF7A70" w:rsidRDefault="00FF7A70" w:rsidP="001A1FDE">
            <w:pPr>
              <w:rPr>
                <w:rFonts w:asciiTheme="minorHAnsi" w:hAnsiTheme="minorHAnsi"/>
                <w:color w:val="000000" w:themeColor="text1"/>
                <w:sz w:val="22"/>
                <w:szCs w:val="22"/>
              </w:rPr>
            </w:pPr>
          </w:p>
        </w:tc>
        <w:tc>
          <w:tcPr>
            <w:tcW w:w="2410" w:type="dxa"/>
            <w:shd w:val="clear" w:color="auto" w:fill="FFFFFF" w:themeFill="background1"/>
          </w:tcPr>
          <w:p w:rsidR="00FF7A70" w:rsidRPr="00FF7A70" w:rsidRDefault="00FF7A70" w:rsidP="001A1FDE">
            <w:pPr>
              <w:rPr>
                <w:rFonts w:asciiTheme="minorHAnsi" w:hAnsiTheme="minorHAnsi"/>
                <w:color w:val="000000" w:themeColor="text1"/>
                <w:sz w:val="22"/>
                <w:szCs w:val="22"/>
              </w:rPr>
            </w:pPr>
          </w:p>
        </w:tc>
      </w:tr>
      <w:tr w:rsidR="00FF7A70" w:rsidRPr="00FF7A70" w:rsidTr="001A1FDE">
        <w:trPr>
          <w:trHeight w:val="340"/>
        </w:trPr>
        <w:tc>
          <w:tcPr>
            <w:tcW w:w="1668" w:type="dxa"/>
            <w:shd w:val="clear" w:color="auto" w:fill="A6A6A6" w:themeFill="background1" w:themeFillShade="A6"/>
          </w:tcPr>
          <w:p w:rsidR="00FF7A70" w:rsidRPr="00FF7A70" w:rsidRDefault="00FF7A70" w:rsidP="001A1FDE">
            <w:pPr>
              <w:rPr>
                <w:rFonts w:asciiTheme="minorHAnsi" w:hAnsiTheme="minorHAnsi"/>
                <w:b/>
                <w:color w:val="FFFFFF" w:themeColor="background1"/>
                <w:sz w:val="22"/>
                <w:szCs w:val="22"/>
              </w:rPr>
            </w:pPr>
            <w:r w:rsidRPr="00FF7A70">
              <w:rPr>
                <w:rFonts w:asciiTheme="minorHAnsi" w:hAnsiTheme="minorHAnsi"/>
                <w:b/>
                <w:color w:val="FFFFFF" w:themeColor="background1"/>
                <w:sz w:val="22"/>
                <w:szCs w:val="22"/>
              </w:rPr>
              <w:t>obsoletos</w:t>
            </w:r>
          </w:p>
        </w:tc>
        <w:tc>
          <w:tcPr>
            <w:tcW w:w="2693" w:type="dxa"/>
            <w:shd w:val="clear" w:color="auto" w:fill="D9D9D9" w:themeFill="background1" w:themeFillShade="D9"/>
          </w:tcPr>
          <w:p w:rsidR="00FF7A70" w:rsidRPr="00FF7A70" w:rsidRDefault="00FF7A70" w:rsidP="001A1FDE">
            <w:pPr>
              <w:rPr>
                <w:rFonts w:asciiTheme="minorHAnsi" w:hAnsiTheme="minorHAnsi"/>
                <w:color w:val="000000" w:themeColor="text1"/>
                <w:sz w:val="22"/>
                <w:szCs w:val="22"/>
              </w:rPr>
            </w:pPr>
          </w:p>
        </w:tc>
        <w:tc>
          <w:tcPr>
            <w:tcW w:w="2410" w:type="dxa"/>
            <w:shd w:val="clear" w:color="auto" w:fill="D9D9D9" w:themeFill="background1" w:themeFillShade="D9"/>
          </w:tcPr>
          <w:p w:rsidR="00FF7A70" w:rsidRPr="00FF7A70" w:rsidRDefault="00FF7A70" w:rsidP="001A1FDE">
            <w:pPr>
              <w:rPr>
                <w:rFonts w:asciiTheme="minorHAnsi" w:hAnsiTheme="minorHAnsi"/>
                <w:color w:val="000000" w:themeColor="text1"/>
                <w:sz w:val="22"/>
                <w:szCs w:val="22"/>
              </w:rPr>
            </w:pPr>
          </w:p>
        </w:tc>
      </w:tr>
    </w:tbl>
    <w:p w:rsidR="00FF7A70" w:rsidRPr="00FF7A70" w:rsidRDefault="00FF7A70" w:rsidP="00FF7A70">
      <w:pPr>
        <w:ind w:left="448"/>
        <w:rPr>
          <w:rFonts w:asciiTheme="minorHAnsi" w:hAnsiTheme="minorHAnsi"/>
          <w:sz w:val="22"/>
          <w:szCs w:val="22"/>
        </w:rPr>
      </w:pPr>
    </w:p>
    <w:p w:rsidR="00FF7A70" w:rsidRPr="00FF7A70" w:rsidRDefault="00FF7A70" w:rsidP="00FF7A70">
      <w:pPr>
        <w:rPr>
          <w:rFonts w:asciiTheme="minorHAnsi" w:hAnsiTheme="minorHAnsi"/>
          <w:sz w:val="22"/>
          <w:szCs w:val="22"/>
        </w:rPr>
      </w:pPr>
    </w:p>
    <w:p w:rsidR="00FF7A70" w:rsidRPr="00FF7A70" w:rsidRDefault="00FF7A70" w:rsidP="00FF7A70">
      <w:pPr>
        <w:ind w:left="360"/>
        <w:rPr>
          <w:rFonts w:asciiTheme="minorHAnsi" w:hAnsiTheme="minorHAnsi"/>
          <w:sz w:val="22"/>
          <w:szCs w:val="22"/>
        </w:rPr>
      </w:pPr>
    </w:p>
    <w:p w:rsidR="00FF7A70" w:rsidRPr="00FF7A70" w:rsidRDefault="00FF7A70" w:rsidP="00FF7A70">
      <w:pPr>
        <w:ind w:left="360"/>
        <w:rPr>
          <w:rFonts w:asciiTheme="minorHAnsi" w:hAnsiTheme="minorHAnsi"/>
          <w:sz w:val="22"/>
          <w:szCs w:val="22"/>
        </w:rPr>
      </w:pPr>
    </w:p>
    <w:p w:rsidR="00FF7A70" w:rsidRPr="00FF7A70" w:rsidRDefault="00FF7A70" w:rsidP="00FF7A70">
      <w:pPr>
        <w:ind w:left="360"/>
        <w:rPr>
          <w:rFonts w:asciiTheme="minorHAnsi" w:hAnsiTheme="minorHAnsi"/>
          <w:sz w:val="22"/>
          <w:szCs w:val="22"/>
        </w:rPr>
      </w:pPr>
    </w:p>
    <w:p w:rsidR="00FF7A70" w:rsidRPr="00FF7A70" w:rsidRDefault="00FF7A70" w:rsidP="00FF7A70">
      <w:pPr>
        <w:ind w:left="360"/>
        <w:rPr>
          <w:rFonts w:asciiTheme="minorHAnsi" w:hAnsiTheme="minorHAnsi"/>
          <w:sz w:val="22"/>
          <w:szCs w:val="22"/>
        </w:rPr>
      </w:pPr>
    </w:p>
    <w:p w:rsidR="00FF7A70" w:rsidRPr="00FF7A70" w:rsidRDefault="00FF7A70" w:rsidP="00FF7A70">
      <w:pPr>
        <w:ind w:left="360"/>
        <w:rPr>
          <w:rFonts w:asciiTheme="minorHAnsi" w:hAnsiTheme="minorHAnsi"/>
          <w:b/>
          <w:bCs/>
          <w:color w:val="FF0000"/>
          <w:sz w:val="22"/>
          <w:szCs w:val="22"/>
        </w:rPr>
      </w:pPr>
    </w:p>
    <w:p w:rsidR="00FF7A70" w:rsidRPr="00FF7A70" w:rsidRDefault="00FF7A70" w:rsidP="00FF7A70">
      <w:pPr>
        <w:rPr>
          <w:rFonts w:asciiTheme="minorHAnsi" w:hAnsiTheme="minorHAnsi"/>
          <w:sz w:val="22"/>
          <w:szCs w:val="22"/>
        </w:rPr>
      </w:pPr>
      <w:r w:rsidRPr="00FF7A70">
        <w:rPr>
          <w:rFonts w:asciiTheme="minorHAnsi" w:hAnsiTheme="minorHAnsi"/>
          <w:bCs/>
          <w:i/>
          <w:color w:val="000000" w:themeColor="text1"/>
          <w:sz w:val="22"/>
          <w:szCs w:val="22"/>
          <w:u w:val="single"/>
        </w:rPr>
        <w:t>'costo logístico externo'</w:t>
      </w:r>
      <w:r w:rsidRPr="00FF7A70">
        <w:rPr>
          <w:rFonts w:asciiTheme="minorHAnsi" w:hAnsiTheme="minorHAnsi"/>
          <w:color w:val="000000" w:themeColor="text1"/>
          <w:sz w:val="22"/>
          <w:szCs w:val="22"/>
        </w:rPr>
        <w:t xml:space="preserve"> debe calcular  el costo de distribución  (incluimos costo a nivel de cliente :</w:t>
      </w:r>
      <w:r w:rsidRPr="00FF7A70">
        <w:rPr>
          <w:rFonts w:asciiTheme="minorHAnsi" w:hAnsiTheme="minorHAnsi"/>
          <w:sz w:val="22"/>
          <w:szCs w:val="22"/>
        </w:rPr>
        <w:t xml:space="preserve"> picking y transporte) de 1 kilo de pintura de acuerdo a la siguiente tabla:</w:t>
      </w:r>
    </w:p>
    <w:p w:rsidR="00FF7A70" w:rsidRPr="00FF7A70" w:rsidRDefault="00FF7A70" w:rsidP="00FF7A70">
      <w:pPr>
        <w:ind w:left="360"/>
        <w:rPr>
          <w:rFonts w:asciiTheme="minorHAnsi" w:hAnsiTheme="minorHAnsi"/>
          <w:sz w:val="22"/>
          <w:szCs w:val="22"/>
        </w:rPr>
      </w:pPr>
    </w:p>
    <w:tbl>
      <w:tblPr>
        <w:tblW w:w="0" w:type="auto"/>
        <w:tblBorders>
          <w:insideH w:val="single" w:sz="4" w:space="0" w:color="FFFFFF"/>
        </w:tblBorders>
        <w:tblLook w:val="0000"/>
      </w:tblPr>
      <w:tblGrid>
        <w:gridCol w:w="4503"/>
        <w:gridCol w:w="1715"/>
        <w:gridCol w:w="1835"/>
      </w:tblGrid>
      <w:tr w:rsidR="00FF7A70" w:rsidRPr="00FF7A70" w:rsidTr="001A1FDE">
        <w:tc>
          <w:tcPr>
            <w:tcW w:w="4503" w:type="dxa"/>
            <w:shd w:val="clear" w:color="auto" w:fill="A6A6A6" w:themeFill="background1" w:themeFillShade="A6"/>
          </w:tcPr>
          <w:p w:rsidR="00FF7A70" w:rsidRPr="00FF7A70" w:rsidRDefault="00FF7A70" w:rsidP="001A1FDE">
            <w:pPr>
              <w:ind w:left="360"/>
              <w:rPr>
                <w:rFonts w:asciiTheme="minorHAnsi" w:hAnsiTheme="minorHAnsi"/>
                <w:b/>
                <w:color w:val="FFFFFF" w:themeColor="background1"/>
                <w:sz w:val="22"/>
                <w:szCs w:val="22"/>
              </w:rPr>
            </w:pPr>
          </w:p>
        </w:tc>
        <w:tc>
          <w:tcPr>
            <w:tcW w:w="1708" w:type="dxa"/>
            <w:shd w:val="clear" w:color="auto" w:fill="A6A6A6" w:themeFill="background1" w:themeFillShade="A6"/>
          </w:tcPr>
          <w:p w:rsidR="00FF7A70" w:rsidRPr="00FF7A70" w:rsidRDefault="00FF7A70" w:rsidP="001A1FDE">
            <w:pPr>
              <w:ind w:left="360"/>
              <w:jc w:val="center"/>
              <w:rPr>
                <w:rFonts w:asciiTheme="minorHAnsi" w:hAnsiTheme="minorHAnsi"/>
                <w:b/>
                <w:color w:val="FFFFFF" w:themeColor="background1"/>
                <w:sz w:val="22"/>
                <w:szCs w:val="22"/>
              </w:rPr>
            </w:pPr>
            <w:r w:rsidRPr="00FF7A70">
              <w:rPr>
                <w:rFonts w:asciiTheme="minorHAnsi" w:hAnsiTheme="minorHAnsi"/>
                <w:b/>
                <w:color w:val="FFFFFF" w:themeColor="background1"/>
                <w:sz w:val="22"/>
                <w:szCs w:val="22"/>
              </w:rPr>
              <w:t>contabilidad tradicional</w:t>
            </w:r>
          </w:p>
        </w:tc>
        <w:tc>
          <w:tcPr>
            <w:tcW w:w="1835" w:type="dxa"/>
            <w:shd w:val="clear" w:color="auto" w:fill="A6A6A6" w:themeFill="background1" w:themeFillShade="A6"/>
          </w:tcPr>
          <w:p w:rsidR="00FF7A70" w:rsidRPr="00FF7A70" w:rsidRDefault="00FF7A70" w:rsidP="001A1FDE">
            <w:pPr>
              <w:ind w:left="360"/>
              <w:jc w:val="center"/>
              <w:rPr>
                <w:rFonts w:asciiTheme="minorHAnsi" w:hAnsiTheme="minorHAnsi"/>
                <w:b/>
                <w:color w:val="FFFFFF" w:themeColor="background1"/>
                <w:sz w:val="22"/>
                <w:szCs w:val="22"/>
              </w:rPr>
            </w:pPr>
            <w:r w:rsidRPr="00FF7A70">
              <w:rPr>
                <w:rFonts w:asciiTheme="minorHAnsi" w:hAnsiTheme="minorHAnsi"/>
                <w:b/>
                <w:color w:val="FFFFFF" w:themeColor="background1"/>
                <w:sz w:val="22"/>
                <w:szCs w:val="22"/>
              </w:rPr>
              <w:t>contabilidad de costos</w:t>
            </w:r>
          </w:p>
        </w:tc>
      </w:tr>
      <w:tr w:rsidR="00FF7A70" w:rsidRPr="00FF7A70" w:rsidTr="001A1FDE">
        <w:trPr>
          <w:trHeight w:val="373"/>
        </w:trPr>
        <w:tc>
          <w:tcPr>
            <w:tcW w:w="4503" w:type="dxa"/>
            <w:shd w:val="clear" w:color="auto" w:fill="A6A6A6" w:themeFill="background1" w:themeFillShade="A6"/>
          </w:tcPr>
          <w:p w:rsidR="00FF7A70" w:rsidRPr="00FF7A70" w:rsidRDefault="00FF7A70" w:rsidP="001A1FDE">
            <w:pPr>
              <w:rPr>
                <w:rFonts w:asciiTheme="minorHAnsi" w:hAnsiTheme="minorHAnsi"/>
                <w:b/>
                <w:color w:val="FFFFFF" w:themeColor="background1"/>
                <w:sz w:val="22"/>
                <w:szCs w:val="22"/>
              </w:rPr>
            </w:pPr>
            <w:r w:rsidRPr="00FF7A70">
              <w:rPr>
                <w:rFonts w:asciiTheme="minorHAnsi" w:hAnsiTheme="minorHAnsi"/>
                <w:b/>
                <w:color w:val="FFFFFF" w:themeColor="background1"/>
                <w:sz w:val="22"/>
                <w:szCs w:val="22"/>
              </w:rPr>
              <w:t>cliente lejano y pedidos por palet completo</w:t>
            </w:r>
          </w:p>
        </w:tc>
        <w:tc>
          <w:tcPr>
            <w:tcW w:w="1708" w:type="dxa"/>
            <w:shd w:val="clear" w:color="auto" w:fill="FFFFFF" w:themeFill="background1"/>
          </w:tcPr>
          <w:p w:rsidR="00FF7A70" w:rsidRPr="00FF7A70" w:rsidRDefault="00FF7A70" w:rsidP="001A1FDE">
            <w:pPr>
              <w:ind w:left="360"/>
              <w:rPr>
                <w:rFonts w:asciiTheme="minorHAnsi" w:hAnsiTheme="minorHAnsi"/>
                <w:color w:val="000000"/>
                <w:sz w:val="22"/>
                <w:szCs w:val="22"/>
              </w:rPr>
            </w:pPr>
          </w:p>
        </w:tc>
        <w:tc>
          <w:tcPr>
            <w:tcW w:w="1835" w:type="dxa"/>
            <w:shd w:val="clear" w:color="auto" w:fill="FFFFFF" w:themeFill="background1"/>
          </w:tcPr>
          <w:p w:rsidR="00FF7A70" w:rsidRPr="00FF7A70" w:rsidRDefault="00FF7A70" w:rsidP="001A1FDE">
            <w:pPr>
              <w:ind w:left="360"/>
              <w:rPr>
                <w:rFonts w:asciiTheme="minorHAnsi" w:hAnsiTheme="minorHAnsi"/>
                <w:color w:val="000000"/>
                <w:sz w:val="22"/>
                <w:szCs w:val="22"/>
              </w:rPr>
            </w:pPr>
          </w:p>
        </w:tc>
      </w:tr>
      <w:tr w:rsidR="00FF7A70" w:rsidRPr="00FF7A70" w:rsidTr="001A1FDE">
        <w:trPr>
          <w:trHeight w:val="407"/>
        </w:trPr>
        <w:tc>
          <w:tcPr>
            <w:tcW w:w="4503" w:type="dxa"/>
            <w:shd w:val="clear" w:color="auto" w:fill="A6A6A6" w:themeFill="background1" w:themeFillShade="A6"/>
          </w:tcPr>
          <w:p w:rsidR="00FF7A70" w:rsidRPr="00FF7A70" w:rsidRDefault="00FF7A70" w:rsidP="001A1FDE">
            <w:pPr>
              <w:rPr>
                <w:rFonts w:asciiTheme="minorHAnsi" w:hAnsiTheme="minorHAnsi"/>
                <w:b/>
                <w:color w:val="FFFFFF" w:themeColor="background1"/>
                <w:sz w:val="22"/>
                <w:szCs w:val="22"/>
              </w:rPr>
            </w:pPr>
            <w:r w:rsidRPr="00FF7A70">
              <w:rPr>
                <w:rFonts w:asciiTheme="minorHAnsi" w:hAnsiTheme="minorHAnsi"/>
                <w:b/>
                <w:color w:val="FFFFFF" w:themeColor="background1"/>
                <w:sz w:val="22"/>
                <w:szCs w:val="22"/>
              </w:rPr>
              <w:t>cliente cercano y pedidos por palet completo</w:t>
            </w:r>
          </w:p>
        </w:tc>
        <w:tc>
          <w:tcPr>
            <w:tcW w:w="1708" w:type="dxa"/>
            <w:shd w:val="clear" w:color="auto" w:fill="D9D9D9" w:themeFill="background1" w:themeFillShade="D9"/>
          </w:tcPr>
          <w:p w:rsidR="00FF7A70" w:rsidRPr="00FF7A70" w:rsidRDefault="00FF7A70" w:rsidP="001A1FDE">
            <w:pPr>
              <w:ind w:left="360"/>
              <w:rPr>
                <w:rFonts w:asciiTheme="minorHAnsi" w:hAnsiTheme="minorHAnsi"/>
                <w:color w:val="000000"/>
                <w:sz w:val="22"/>
                <w:szCs w:val="22"/>
              </w:rPr>
            </w:pPr>
          </w:p>
        </w:tc>
        <w:tc>
          <w:tcPr>
            <w:tcW w:w="1835" w:type="dxa"/>
            <w:shd w:val="clear" w:color="auto" w:fill="D9D9D9" w:themeFill="background1" w:themeFillShade="D9"/>
          </w:tcPr>
          <w:p w:rsidR="00FF7A70" w:rsidRPr="00FF7A70" w:rsidRDefault="00FF7A70" w:rsidP="001A1FDE">
            <w:pPr>
              <w:ind w:left="360"/>
              <w:rPr>
                <w:rFonts w:asciiTheme="minorHAnsi" w:hAnsiTheme="minorHAnsi"/>
                <w:color w:val="000000"/>
                <w:sz w:val="22"/>
                <w:szCs w:val="22"/>
              </w:rPr>
            </w:pPr>
          </w:p>
        </w:tc>
      </w:tr>
      <w:tr w:rsidR="00FF7A70" w:rsidRPr="00FF7A70" w:rsidTr="001A1FDE">
        <w:trPr>
          <w:trHeight w:val="413"/>
        </w:trPr>
        <w:tc>
          <w:tcPr>
            <w:tcW w:w="4503" w:type="dxa"/>
            <w:shd w:val="clear" w:color="auto" w:fill="A6A6A6" w:themeFill="background1" w:themeFillShade="A6"/>
          </w:tcPr>
          <w:p w:rsidR="00FF7A70" w:rsidRPr="00FF7A70" w:rsidRDefault="00FF7A70" w:rsidP="001A1FDE">
            <w:pPr>
              <w:rPr>
                <w:rFonts w:asciiTheme="minorHAnsi" w:hAnsiTheme="minorHAnsi"/>
                <w:b/>
                <w:color w:val="FFFFFF" w:themeColor="background1"/>
                <w:sz w:val="22"/>
                <w:szCs w:val="22"/>
              </w:rPr>
            </w:pPr>
            <w:r w:rsidRPr="00FF7A70">
              <w:rPr>
                <w:rFonts w:asciiTheme="minorHAnsi" w:hAnsiTheme="minorHAnsi"/>
                <w:b/>
                <w:color w:val="FFFFFF" w:themeColor="background1"/>
                <w:sz w:val="22"/>
                <w:szCs w:val="22"/>
              </w:rPr>
              <w:t>cliente lejano y pedidos por cajas</w:t>
            </w:r>
          </w:p>
        </w:tc>
        <w:tc>
          <w:tcPr>
            <w:tcW w:w="1708" w:type="dxa"/>
            <w:shd w:val="clear" w:color="auto" w:fill="FFFFFF" w:themeFill="background1"/>
          </w:tcPr>
          <w:p w:rsidR="00FF7A70" w:rsidRPr="00FF7A70" w:rsidRDefault="00FF7A70" w:rsidP="001A1FDE">
            <w:pPr>
              <w:ind w:left="360"/>
              <w:rPr>
                <w:rFonts w:asciiTheme="minorHAnsi" w:hAnsiTheme="minorHAnsi"/>
                <w:color w:val="000000"/>
                <w:sz w:val="22"/>
                <w:szCs w:val="22"/>
              </w:rPr>
            </w:pPr>
          </w:p>
        </w:tc>
        <w:tc>
          <w:tcPr>
            <w:tcW w:w="1835" w:type="dxa"/>
            <w:shd w:val="clear" w:color="auto" w:fill="FFFFFF" w:themeFill="background1"/>
          </w:tcPr>
          <w:p w:rsidR="00FF7A70" w:rsidRPr="00FF7A70" w:rsidRDefault="00FF7A70" w:rsidP="001A1FDE">
            <w:pPr>
              <w:ind w:left="360"/>
              <w:rPr>
                <w:rFonts w:asciiTheme="minorHAnsi" w:hAnsiTheme="minorHAnsi"/>
                <w:color w:val="000000"/>
                <w:sz w:val="22"/>
                <w:szCs w:val="22"/>
              </w:rPr>
            </w:pPr>
          </w:p>
        </w:tc>
      </w:tr>
      <w:tr w:rsidR="00FF7A70" w:rsidRPr="00FF7A70" w:rsidTr="001A1FDE">
        <w:trPr>
          <w:trHeight w:val="385"/>
        </w:trPr>
        <w:tc>
          <w:tcPr>
            <w:tcW w:w="4503" w:type="dxa"/>
            <w:shd w:val="clear" w:color="auto" w:fill="A6A6A6" w:themeFill="background1" w:themeFillShade="A6"/>
          </w:tcPr>
          <w:p w:rsidR="00FF7A70" w:rsidRPr="00FF7A70" w:rsidRDefault="00FF7A70" w:rsidP="001A1FDE">
            <w:pPr>
              <w:rPr>
                <w:rFonts w:asciiTheme="minorHAnsi" w:hAnsiTheme="minorHAnsi"/>
                <w:b/>
                <w:color w:val="FFFFFF" w:themeColor="background1"/>
                <w:sz w:val="22"/>
                <w:szCs w:val="22"/>
              </w:rPr>
            </w:pPr>
            <w:r w:rsidRPr="00FF7A70">
              <w:rPr>
                <w:rFonts w:asciiTheme="minorHAnsi" w:hAnsiTheme="minorHAnsi"/>
                <w:b/>
                <w:color w:val="FFFFFF" w:themeColor="background1"/>
                <w:sz w:val="22"/>
                <w:szCs w:val="22"/>
              </w:rPr>
              <w:t>cliente cercano y pedidos por cajas</w:t>
            </w:r>
          </w:p>
        </w:tc>
        <w:tc>
          <w:tcPr>
            <w:tcW w:w="1708" w:type="dxa"/>
            <w:shd w:val="clear" w:color="auto" w:fill="D9D9D9" w:themeFill="background1" w:themeFillShade="D9"/>
          </w:tcPr>
          <w:p w:rsidR="00FF7A70" w:rsidRPr="00FF7A70" w:rsidRDefault="00FF7A70" w:rsidP="001A1FDE">
            <w:pPr>
              <w:ind w:left="360"/>
              <w:rPr>
                <w:rFonts w:asciiTheme="minorHAnsi" w:hAnsiTheme="minorHAnsi"/>
                <w:color w:val="000000"/>
                <w:sz w:val="22"/>
                <w:szCs w:val="22"/>
              </w:rPr>
            </w:pPr>
          </w:p>
        </w:tc>
        <w:tc>
          <w:tcPr>
            <w:tcW w:w="1835" w:type="dxa"/>
            <w:shd w:val="clear" w:color="auto" w:fill="D9D9D9" w:themeFill="background1" w:themeFillShade="D9"/>
          </w:tcPr>
          <w:p w:rsidR="00FF7A70" w:rsidRPr="00FF7A70" w:rsidRDefault="00FF7A70" w:rsidP="001A1FDE">
            <w:pPr>
              <w:ind w:left="360"/>
              <w:rPr>
                <w:rFonts w:asciiTheme="minorHAnsi" w:hAnsiTheme="minorHAnsi"/>
                <w:color w:val="000000"/>
                <w:sz w:val="22"/>
                <w:szCs w:val="22"/>
              </w:rPr>
            </w:pPr>
          </w:p>
        </w:tc>
      </w:tr>
    </w:tbl>
    <w:p w:rsidR="00FF7A70" w:rsidRPr="00FF7A70" w:rsidRDefault="00FF7A70" w:rsidP="00FF7A70">
      <w:pPr>
        <w:ind w:left="708"/>
        <w:rPr>
          <w:rFonts w:asciiTheme="minorHAnsi" w:hAnsiTheme="minorHAnsi"/>
          <w:sz w:val="22"/>
          <w:szCs w:val="22"/>
        </w:rPr>
      </w:pPr>
    </w:p>
    <w:p w:rsidR="00FF7A70" w:rsidRPr="00FF7A70" w:rsidRDefault="00FF7A70" w:rsidP="00FF7A70">
      <w:pPr>
        <w:rPr>
          <w:rFonts w:asciiTheme="minorHAnsi" w:hAnsiTheme="minorHAnsi"/>
          <w:b/>
          <w:sz w:val="22"/>
          <w:szCs w:val="22"/>
        </w:rPr>
      </w:pPr>
      <w:r w:rsidRPr="00FF7A70">
        <w:rPr>
          <w:rFonts w:asciiTheme="minorHAnsi" w:hAnsiTheme="minorHAnsi"/>
          <w:b/>
          <w:sz w:val="22"/>
          <w:szCs w:val="22"/>
        </w:rPr>
        <w:t>5.- comentarios</w:t>
      </w:r>
    </w:p>
    <w:p w:rsidR="00FF7A70" w:rsidRPr="00FF7A70" w:rsidRDefault="00FF7A70" w:rsidP="00FF7A70">
      <w:pPr>
        <w:pStyle w:val="Prrafodelista"/>
        <w:ind w:left="0"/>
        <w:rPr>
          <w:rFonts w:asciiTheme="minorHAnsi" w:hAnsiTheme="minorHAnsi"/>
          <w:sz w:val="22"/>
          <w:szCs w:val="22"/>
        </w:rPr>
      </w:pPr>
      <w:r w:rsidRPr="00FF7A70">
        <w:rPr>
          <w:rFonts w:asciiTheme="minorHAnsi" w:hAnsiTheme="minorHAnsi"/>
          <w:sz w:val="22"/>
          <w:szCs w:val="22"/>
        </w:rPr>
        <w:t xml:space="preserve">El esquema de ratios presentado para el análisis de costos no es el único ni tiene por qué ser el mejor, pero es suficientemente apto. Con los mismos datos de partida se pueden diseñar otros cuadros. </w:t>
      </w:r>
    </w:p>
    <w:p w:rsidR="00FF7A70" w:rsidRPr="00FF7A70" w:rsidRDefault="00FF7A70" w:rsidP="00FF7A70">
      <w:pPr>
        <w:pStyle w:val="Prrafodelista"/>
        <w:ind w:left="0"/>
        <w:rPr>
          <w:rFonts w:asciiTheme="minorHAnsi" w:hAnsiTheme="minorHAnsi"/>
          <w:sz w:val="22"/>
          <w:szCs w:val="22"/>
        </w:rPr>
      </w:pPr>
      <w:r w:rsidRPr="00FF7A70">
        <w:rPr>
          <w:rFonts w:asciiTheme="minorHAnsi" w:hAnsiTheme="minorHAnsi"/>
          <w:sz w:val="22"/>
          <w:szCs w:val="22"/>
        </w:rPr>
        <w:t>Se aprecia que aun manteniendo los mismos %'s de amortización en los diversos elementos, al incluir el suelo en los costos de oportunidad, la diferencia en el costo logístico interno es notable.</w:t>
      </w:r>
    </w:p>
    <w:p w:rsidR="00D42E6B" w:rsidRPr="00FF7A70" w:rsidRDefault="00D42E6B" w:rsidP="00FF7A70">
      <w:pPr>
        <w:rPr>
          <w:rFonts w:asciiTheme="minorHAnsi" w:hAnsiTheme="minorHAnsi"/>
          <w:sz w:val="22"/>
          <w:szCs w:val="22"/>
        </w:rPr>
      </w:pPr>
    </w:p>
    <w:sectPr w:rsidR="00D42E6B" w:rsidRPr="00FF7A70" w:rsidSect="00C94F74">
      <w:headerReference w:type="default" r:id="rId7"/>
      <w:footerReference w:type="default" r:id="rId8"/>
      <w:headerReference w:type="first" r:id="rId9"/>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3D8" w:rsidRDefault="008513D8">
      <w:r>
        <w:separator/>
      </w:r>
    </w:p>
  </w:endnote>
  <w:endnote w:type="continuationSeparator" w:id="0">
    <w:p w:rsidR="008513D8" w:rsidRDefault="008513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3AC" w:rsidRPr="004573AC" w:rsidRDefault="0029092A">
    <w:pPr>
      <w:pStyle w:val="Piedepgina"/>
      <w:jc w:val="right"/>
      <w:rPr>
        <w:rFonts w:asciiTheme="minorHAnsi" w:hAnsiTheme="minorHAnsi"/>
        <w:sz w:val="22"/>
        <w:szCs w:val="22"/>
      </w:rPr>
    </w:pPr>
    <w:r w:rsidRPr="004573AC">
      <w:rPr>
        <w:rFonts w:asciiTheme="minorHAnsi" w:hAnsiTheme="minorHAnsi"/>
        <w:sz w:val="22"/>
        <w:szCs w:val="22"/>
      </w:rPr>
      <w:fldChar w:fldCharType="begin"/>
    </w:r>
    <w:r w:rsidR="004573AC" w:rsidRPr="004573AC">
      <w:rPr>
        <w:rFonts w:asciiTheme="minorHAnsi" w:hAnsiTheme="minorHAnsi"/>
        <w:sz w:val="22"/>
        <w:szCs w:val="22"/>
      </w:rPr>
      <w:instrText xml:space="preserve"> PAGE   \* MERGEFORMAT </w:instrText>
    </w:r>
    <w:r w:rsidRPr="004573AC">
      <w:rPr>
        <w:rFonts w:asciiTheme="minorHAnsi" w:hAnsiTheme="minorHAnsi"/>
        <w:sz w:val="22"/>
        <w:szCs w:val="22"/>
      </w:rPr>
      <w:fldChar w:fldCharType="separate"/>
    </w:r>
    <w:r w:rsidR="008513D8">
      <w:rPr>
        <w:rFonts w:asciiTheme="minorHAnsi" w:hAnsiTheme="minorHAnsi"/>
        <w:noProof/>
        <w:sz w:val="22"/>
        <w:szCs w:val="22"/>
      </w:rPr>
      <w:t>1</w:t>
    </w:r>
    <w:r w:rsidRPr="004573AC">
      <w:rPr>
        <w:rFonts w:asciiTheme="minorHAnsi" w:hAnsiTheme="minorHAnsi"/>
        <w:sz w:val="22"/>
        <w:szCs w:val="22"/>
      </w:rPr>
      <w:fldChar w:fldCharType="end"/>
    </w:r>
  </w:p>
  <w:p w:rsidR="00CE7038" w:rsidRDefault="00CE7038">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3D8" w:rsidRDefault="008513D8">
      <w:r>
        <w:separator/>
      </w:r>
    </w:p>
  </w:footnote>
  <w:footnote w:type="continuationSeparator" w:id="0">
    <w:p w:rsidR="008513D8" w:rsidRDefault="008513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Pr="008D01E2" w:rsidRDefault="00AE1A1E" w:rsidP="004573AC">
    <w:pPr>
      <w:pStyle w:val="Encabezado"/>
      <w:tabs>
        <w:tab w:val="clear" w:pos="4252"/>
        <w:tab w:val="clear" w:pos="8504"/>
      </w:tabs>
      <w:ind w:right="-597"/>
      <w:rPr>
        <w:rFonts w:asciiTheme="minorHAnsi" w:hAnsiTheme="minorHAnsi"/>
        <w:b/>
        <w:sz w:val="22"/>
        <w:szCs w:val="22"/>
        <w:u w:val="single"/>
      </w:rPr>
    </w:pPr>
    <w:r>
      <w:rPr>
        <w:rFonts w:asciiTheme="minorHAnsi" w:hAnsiTheme="minorHAnsi"/>
        <w:b/>
        <w:noProof/>
        <w:sz w:val="22"/>
        <w:szCs w:val="22"/>
        <w:u w:val="single"/>
        <w:lang w:val="es-ES"/>
      </w:rPr>
      <w:t xml:space="preserve">Logística </w:t>
    </w:r>
    <w:r w:rsidR="00FB7BB4">
      <w:rPr>
        <w:rFonts w:asciiTheme="minorHAnsi" w:hAnsiTheme="minorHAnsi"/>
        <w:b/>
        <w:noProof/>
        <w:sz w:val="22"/>
        <w:szCs w:val="22"/>
        <w:u w:val="single"/>
        <w:lang w:val="es-ES"/>
      </w:rPr>
      <w:t xml:space="preserve">del siglo </w:t>
    </w:r>
    <w:r>
      <w:rPr>
        <w:rFonts w:asciiTheme="minorHAnsi" w:hAnsiTheme="minorHAnsi"/>
        <w:b/>
        <w:noProof/>
        <w:sz w:val="22"/>
        <w:szCs w:val="22"/>
        <w:u w:val="single"/>
        <w:lang w:val="es-ES"/>
      </w:rPr>
      <w:t>XXI,</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t>Excel</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r>
    <w:r w:rsidR="002644E6">
      <w:rPr>
        <w:rFonts w:asciiTheme="minorHAnsi" w:hAnsiTheme="minorHAnsi"/>
        <w:b/>
        <w:noProof/>
        <w:sz w:val="22"/>
        <w:szCs w:val="22"/>
        <w:u w:val="single"/>
        <w:lang w:val="es-ES"/>
      </w:rPr>
      <w:t>Redes</w:t>
    </w:r>
    <w:r>
      <w:rPr>
        <w:rFonts w:asciiTheme="minorHAnsi" w:hAnsiTheme="minorHAnsi"/>
        <w:b/>
        <w:noProof/>
        <w:sz w:val="22"/>
        <w:szCs w:val="22"/>
        <w:u w:val="single"/>
        <w:lang w:val="es-ES"/>
      </w:rPr>
      <w:t xml:space="preserve"> de distribución</w:t>
    </w:r>
    <w:r w:rsidR="002644E6">
      <w:rPr>
        <w:rFonts w:asciiTheme="minorHAnsi" w:hAnsiTheme="minorHAnsi"/>
        <w:b/>
        <w:noProof/>
        <w:sz w:val="22"/>
        <w:szCs w:val="22"/>
        <w:u w:val="single"/>
        <w:lang w:val="es-ES"/>
      </w:rPr>
      <w:t xml:space="preserve">        </w:t>
    </w:r>
    <w:r w:rsidR="004573AC">
      <w:rPr>
        <w:rFonts w:asciiTheme="minorHAnsi" w:hAnsiTheme="minorHAnsi"/>
        <w:b/>
        <w:noProof/>
        <w:sz w:val="22"/>
        <w:szCs w:val="22"/>
        <w:u w:val="single"/>
        <w:lang w:val="es-ES"/>
      </w:rPr>
      <w:tab/>
    </w:r>
    <w:r w:rsidR="004573AC">
      <w:rPr>
        <w:rFonts w:asciiTheme="minorHAnsi" w:hAnsiTheme="minorHAnsi"/>
        <w:b/>
        <w:noProof/>
        <w:sz w:val="22"/>
        <w:szCs w:val="22"/>
        <w:u w:val="single"/>
        <w:lang w:val="es-ES"/>
      </w:rPr>
      <w:tab/>
    </w:r>
    <w:r w:rsidR="002644E6">
      <w:rPr>
        <w:rFonts w:asciiTheme="minorHAnsi" w:hAnsiTheme="minorHAnsi"/>
        <w:b/>
        <w:noProof/>
        <w:sz w:val="22"/>
        <w:szCs w:val="22"/>
        <w:u w:val="single"/>
        <w:lang w:val="es-ES"/>
      </w:rPr>
      <w:t xml:space="preserve">  Costos de distribución</w:t>
    </w:r>
    <w:r w:rsidR="005773F6" w:rsidRPr="008D01E2">
      <w:rPr>
        <w:rFonts w:asciiTheme="minorHAnsi" w:hAnsiTheme="minorHAnsi"/>
        <w:noProof/>
        <w:sz w:val="22"/>
        <w:szCs w:val="22"/>
        <w:u w:val="single"/>
        <w:lang w:val="es-ES"/>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3765F"/>
    <w:multiLevelType w:val="singleLevel"/>
    <w:tmpl w:val="FFFFFFFF"/>
    <w:lvl w:ilvl="0">
      <w:numFmt w:val="decimal"/>
      <w:lvlText w:val="*"/>
      <w:lvlJc w:val="left"/>
    </w:lvl>
  </w:abstractNum>
  <w:abstractNum w:abstractNumId="2">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4D503A5"/>
    <w:multiLevelType w:val="singleLevel"/>
    <w:tmpl w:val="0C0A000F"/>
    <w:lvl w:ilvl="0">
      <w:start w:val="1"/>
      <w:numFmt w:val="decimal"/>
      <w:lvlText w:val="%1."/>
      <w:lvlJc w:val="left"/>
      <w:pPr>
        <w:tabs>
          <w:tab w:val="num" w:pos="360"/>
        </w:tabs>
        <w:ind w:left="360" w:hanging="360"/>
      </w:pPr>
    </w:lvl>
  </w:abstractNum>
  <w:abstractNum w:abstractNumId="4">
    <w:nsid w:val="06535CE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5">
    <w:nsid w:val="06B50ED7"/>
    <w:multiLevelType w:val="hybridMultilevel"/>
    <w:tmpl w:val="F3D0F2E8"/>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7">
    <w:nsid w:val="0B394E3A"/>
    <w:multiLevelType w:val="hybridMultilevel"/>
    <w:tmpl w:val="85D22D24"/>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26CA43FE"/>
    <w:multiLevelType w:val="hybridMultilevel"/>
    <w:tmpl w:val="DFC8979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nsid w:val="29414DBC"/>
    <w:multiLevelType w:val="hybridMultilevel"/>
    <w:tmpl w:val="D586122E"/>
    <w:lvl w:ilvl="0" w:tplc="0C0A0007">
      <w:start w:val="1"/>
      <w:numFmt w:val="bullet"/>
      <w:lvlText w:val=""/>
      <w:lvlJc w:val="left"/>
      <w:pPr>
        <w:tabs>
          <w:tab w:val="num" w:pos="808"/>
        </w:tabs>
        <w:ind w:left="808" w:hanging="360"/>
      </w:pPr>
      <w:rPr>
        <w:rFonts w:ascii="Wingdings" w:hAnsi="Wingdings" w:hint="default"/>
        <w:sz w:val="16"/>
      </w:rPr>
    </w:lvl>
    <w:lvl w:ilvl="1" w:tplc="0C0A0003" w:tentative="1">
      <w:start w:val="1"/>
      <w:numFmt w:val="bullet"/>
      <w:lvlText w:val="o"/>
      <w:lvlJc w:val="left"/>
      <w:pPr>
        <w:tabs>
          <w:tab w:val="num" w:pos="1528"/>
        </w:tabs>
        <w:ind w:left="1528" w:hanging="360"/>
      </w:pPr>
      <w:rPr>
        <w:rFonts w:ascii="Courier New" w:hAnsi="Courier New" w:hint="default"/>
      </w:rPr>
    </w:lvl>
    <w:lvl w:ilvl="2" w:tplc="0C0A0005" w:tentative="1">
      <w:start w:val="1"/>
      <w:numFmt w:val="bullet"/>
      <w:lvlText w:val=""/>
      <w:lvlJc w:val="left"/>
      <w:pPr>
        <w:tabs>
          <w:tab w:val="num" w:pos="2248"/>
        </w:tabs>
        <w:ind w:left="2248" w:hanging="360"/>
      </w:pPr>
      <w:rPr>
        <w:rFonts w:ascii="Wingdings" w:hAnsi="Wingdings" w:hint="default"/>
      </w:rPr>
    </w:lvl>
    <w:lvl w:ilvl="3" w:tplc="0C0A0001" w:tentative="1">
      <w:start w:val="1"/>
      <w:numFmt w:val="bullet"/>
      <w:lvlText w:val=""/>
      <w:lvlJc w:val="left"/>
      <w:pPr>
        <w:tabs>
          <w:tab w:val="num" w:pos="2968"/>
        </w:tabs>
        <w:ind w:left="2968" w:hanging="360"/>
      </w:pPr>
      <w:rPr>
        <w:rFonts w:ascii="Symbol" w:hAnsi="Symbol" w:hint="default"/>
      </w:rPr>
    </w:lvl>
    <w:lvl w:ilvl="4" w:tplc="0C0A0003" w:tentative="1">
      <w:start w:val="1"/>
      <w:numFmt w:val="bullet"/>
      <w:lvlText w:val="o"/>
      <w:lvlJc w:val="left"/>
      <w:pPr>
        <w:tabs>
          <w:tab w:val="num" w:pos="3688"/>
        </w:tabs>
        <w:ind w:left="3688" w:hanging="360"/>
      </w:pPr>
      <w:rPr>
        <w:rFonts w:ascii="Courier New" w:hAnsi="Courier New" w:hint="default"/>
      </w:rPr>
    </w:lvl>
    <w:lvl w:ilvl="5" w:tplc="0C0A0005" w:tentative="1">
      <w:start w:val="1"/>
      <w:numFmt w:val="bullet"/>
      <w:lvlText w:val=""/>
      <w:lvlJc w:val="left"/>
      <w:pPr>
        <w:tabs>
          <w:tab w:val="num" w:pos="4408"/>
        </w:tabs>
        <w:ind w:left="4408" w:hanging="360"/>
      </w:pPr>
      <w:rPr>
        <w:rFonts w:ascii="Wingdings" w:hAnsi="Wingdings" w:hint="default"/>
      </w:rPr>
    </w:lvl>
    <w:lvl w:ilvl="6" w:tplc="0C0A0001" w:tentative="1">
      <w:start w:val="1"/>
      <w:numFmt w:val="bullet"/>
      <w:lvlText w:val=""/>
      <w:lvlJc w:val="left"/>
      <w:pPr>
        <w:tabs>
          <w:tab w:val="num" w:pos="5128"/>
        </w:tabs>
        <w:ind w:left="5128" w:hanging="360"/>
      </w:pPr>
      <w:rPr>
        <w:rFonts w:ascii="Symbol" w:hAnsi="Symbol" w:hint="default"/>
      </w:rPr>
    </w:lvl>
    <w:lvl w:ilvl="7" w:tplc="0C0A0003" w:tentative="1">
      <w:start w:val="1"/>
      <w:numFmt w:val="bullet"/>
      <w:lvlText w:val="o"/>
      <w:lvlJc w:val="left"/>
      <w:pPr>
        <w:tabs>
          <w:tab w:val="num" w:pos="5848"/>
        </w:tabs>
        <w:ind w:left="5848" w:hanging="360"/>
      </w:pPr>
      <w:rPr>
        <w:rFonts w:ascii="Courier New" w:hAnsi="Courier New" w:hint="default"/>
      </w:rPr>
    </w:lvl>
    <w:lvl w:ilvl="8" w:tplc="0C0A0005" w:tentative="1">
      <w:start w:val="1"/>
      <w:numFmt w:val="bullet"/>
      <w:lvlText w:val=""/>
      <w:lvlJc w:val="left"/>
      <w:pPr>
        <w:tabs>
          <w:tab w:val="num" w:pos="6568"/>
        </w:tabs>
        <w:ind w:left="6568" w:hanging="360"/>
      </w:pPr>
      <w:rPr>
        <w:rFonts w:ascii="Wingdings" w:hAnsi="Wingdings" w:hint="default"/>
      </w:rPr>
    </w:lvl>
  </w:abstractNum>
  <w:abstractNum w:abstractNumId="10">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1">
    <w:nsid w:val="2F2271D9"/>
    <w:multiLevelType w:val="hybridMultilevel"/>
    <w:tmpl w:val="DB3640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13">
    <w:nsid w:val="478A4B0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4">
    <w:nsid w:val="48145BC5"/>
    <w:multiLevelType w:val="hybridMultilevel"/>
    <w:tmpl w:val="DAC8A3BC"/>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5">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16">
    <w:nsid w:val="4D2F4768"/>
    <w:multiLevelType w:val="hybridMultilevel"/>
    <w:tmpl w:val="46746644"/>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
    <w:nsid w:val="524C6F32"/>
    <w:multiLevelType w:val="hybridMultilevel"/>
    <w:tmpl w:val="C8B68C1A"/>
    <w:lvl w:ilvl="0" w:tplc="0C0A0001">
      <w:start w:val="1"/>
      <w:numFmt w:val="bullet"/>
      <w:lvlText w:val=""/>
      <w:lvlJc w:val="left"/>
      <w:pPr>
        <w:ind w:left="1068" w:hanging="360"/>
      </w:pPr>
      <w:rPr>
        <w:rFonts w:ascii="Symbol" w:hAnsi="Symbol" w:hint="default"/>
      </w:rPr>
    </w:lvl>
    <w:lvl w:ilvl="1" w:tplc="0C0A000D">
      <w:start w:val="1"/>
      <w:numFmt w:val="bullet"/>
      <w:lvlText w:val=""/>
      <w:lvlJc w:val="left"/>
      <w:pPr>
        <w:ind w:left="1788" w:hanging="360"/>
      </w:pPr>
      <w:rPr>
        <w:rFonts w:ascii="Wingdings" w:hAnsi="Wingdings"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8">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19">
    <w:nsid w:val="5CAE444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0">
    <w:nsid w:val="5E7612F0"/>
    <w:multiLevelType w:val="hybridMultilevel"/>
    <w:tmpl w:val="5FE447E6"/>
    <w:lvl w:ilvl="0" w:tplc="0C0A000F">
      <w:start w:val="1"/>
      <w:numFmt w:val="decimal"/>
      <w:lvlText w:val="%1."/>
      <w:lvlJc w:val="left"/>
      <w:pPr>
        <w:ind w:left="1428" w:hanging="360"/>
      </w:pPr>
      <w:rPr>
        <w:rFonts w:cs="Times New Roman"/>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21">
    <w:nsid w:val="64C10A0E"/>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2">
    <w:nsid w:val="64E875C5"/>
    <w:multiLevelType w:val="hybridMultilevel"/>
    <w:tmpl w:val="9FB443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52745B7"/>
    <w:multiLevelType w:val="hybridMultilevel"/>
    <w:tmpl w:val="B9FA25B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4">
    <w:nsid w:val="6C77508C"/>
    <w:multiLevelType w:val="hybridMultilevel"/>
    <w:tmpl w:val="B5E6CB9A"/>
    <w:lvl w:ilvl="0" w:tplc="0C0A0007">
      <w:start w:val="1"/>
      <w:numFmt w:val="bullet"/>
      <w:lvlText w:val=""/>
      <w:lvlJc w:val="left"/>
      <w:pPr>
        <w:tabs>
          <w:tab w:val="num" w:pos="808"/>
        </w:tabs>
        <w:ind w:left="808" w:hanging="360"/>
      </w:pPr>
      <w:rPr>
        <w:rFonts w:ascii="Wingdings" w:hAnsi="Wingdings" w:hint="default"/>
        <w:sz w:val="16"/>
      </w:rPr>
    </w:lvl>
    <w:lvl w:ilvl="1" w:tplc="0C0A000D">
      <w:start w:val="1"/>
      <w:numFmt w:val="bullet"/>
      <w:lvlText w:val=""/>
      <w:lvlJc w:val="left"/>
      <w:pPr>
        <w:tabs>
          <w:tab w:val="num" w:pos="1528"/>
        </w:tabs>
        <w:ind w:left="1528" w:hanging="360"/>
      </w:pPr>
      <w:rPr>
        <w:rFonts w:ascii="Wingdings" w:hAnsi="Wingdings" w:hint="default"/>
      </w:rPr>
    </w:lvl>
    <w:lvl w:ilvl="2" w:tplc="0C0A0005" w:tentative="1">
      <w:start w:val="1"/>
      <w:numFmt w:val="bullet"/>
      <w:lvlText w:val=""/>
      <w:lvlJc w:val="left"/>
      <w:pPr>
        <w:tabs>
          <w:tab w:val="num" w:pos="2248"/>
        </w:tabs>
        <w:ind w:left="2248" w:hanging="360"/>
      </w:pPr>
      <w:rPr>
        <w:rFonts w:ascii="Wingdings" w:hAnsi="Wingdings" w:hint="default"/>
      </w:rPr>
    </w:lvl>
    <w:lvl w:ilvl="3" w:tplc="0C0A0001" w:tentative="1">
      <w:start w:val="1"/>
      <w:numFmt w:val="bullet"/>
      <w:lvlText w:val=""/>
      <w:lvlJc w:val="left"/>
      <w:pPr>
        <w:tabs>
          <w:tab w:val="num" w:pos="2968"/>
        </w:tabs>
        <w:ind w:left="2968" w:hanging="360"/>
      </w:pPr>
      <w:rPr>
        <w:rFonts w:ascii="Symbol" w:hAnsi="Symbol" w:hint="default"/>
      </w:rPr>
    </w:lvl>
    <w:lvl w:ilvl="4" w:tplc="0C0A0003" w:tentative="1">
      <w:start w:val="1"/>
      <w:numFmt w:val="bullet"/>
      <w:lvlText w:val="o"/>
      <w:lvlJc w:val="left"/>
      <w:pPr>
        <w:tabs>
          <w:tab w:val="num" w:pos="3688"/>
        </w:tabs>
        <w:ind w:left="3688" w:hanging="360"/>
      </w:pPr>
      <w:rPr>
        <w:rFonts w:ascii="Courier New" w:hAnsi="Courier New" w:hint="default"/>
      </w:rPr>
    </w:lvl>
    <w:lvl w:ilvl="5" w:tplc="0C0A0005" w:tentative="1">
      <w:start w:val="1"/>
      <w:numFmt w:val="bullet"/>
      <w:lvlText w:val=""/>
      <w:lvlJc w:val="left"/>
      <w:pPr>
        <w:tabs>
          <w:tab w:val="num" w:pos="4408"/>
        </w:tabs>
        <w:ind w:left="4408" w:hanging="360"/>
      </w:pPr>
      <w:rPr>
        <w:rFonts w:ascii="Wingdings" w:hAnsi="Wingdings" w:hint="default"/>
      </w:rPr>
    </w:lvl>
    <w:lvl w:ilvl="6" w:tplc="0C0A0001" w:tentative="1">
      <w:start w:val="1"/>
      <w:numFmt w:val="bullet"/>
      <w:lvlText w:val=""/>
      <w:lvlJc w:val="left"/>
      <w:pPr>
        <w:tabs>
          <w:tab w:val="num" w:pos="5128"/>
        </w:tabs>
        <w:ind w:left="5128" w:hanging="360"/>
      </w:pPr>
      <w:rPr>
        <w:rFonts w:ascii="Symbol" w:hAnsi="Symbol" w:hint="default"/>
      </w:rPr>
    </w:lvl>
    <w:lvl w:ilvl="7" w:tplc="0C0A0003" w:tentative="1">
      <w:start w:val="1"/>
      <w:numFmt w:val="bullet"/>
      <w:lvlText w:val="o"/>
      <w:lvlJc w:val="left"/>
      <w:pPr>
        <w:tabs>
          <w:tab w:val="num" w:pos="5848"/>
        </w:tabs>
        <w:ind w:left="5848" w:hanging="360"/>
      </w:pPr>
      <w:rPr>
        <w:rFonts w:ascii="Courier New" w:hAnsi="Courier New" w:hint="default"/>
      </w:rPr>
    </w:lvl>
    <w:lvl w:ilvl="8" w:tplc="0C0A0005" w:tentative="1">
      <w:start w:val="1"/>
      <w:numFmt w:val="bullet"/>
      <w:lvlText w:val=""/>
      <w:lvlJc w:val="left"/>
      <w:pPr>
        <w:tabs>
          <w:tab w:val="num" w:pos="6568"/>
        </w:tabs>
        <w:ind w:left="6568" w:hanging="360"/>
      </w:pPr>
      <w:rPr>
        <w:rFonts w:ascii="Wingdings" w:hAnsi="Wingdings" w:hint="default"/>
      </w:rPr>
    </w:lvl>
  </w:abstractNum>
  <w:abstractNum w:abstractNumId="25">
    <w:nsid w:val="766B325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6">
    <w:nsid w:val="76ED35B1"/>
    <w:multiLevelType w:val="hybridMultilevel"/>
    <w:tmpl w:val="108C4DA2"/>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0"/>
  </w:num>
  <w:num w:numId="3">
    <w:abstractNumId w:val="12"/>
  </w:num>
  <w:num w:numId="4">
    <w:abstractNumId w:val="18"/>
  </w:num>
  <w:num w:numId="5">
    <w:abstractNumId w:val="2"/>
  </w:num>
  <w:num w:numId="6">
    <w:abstractNumId w:val="15"/>
  </w:num>
  <w:num w:numId="7">
    <w:abstractNumId w:val="20"/>
  </w:num>
  <w:num w:numId="8">
    <w:abstractNumId w:val="23"/>
  </w:num>
  <w:num w:numId="9">
    <w:abstractNumId w:val="0"/>
    <w:lvlOverride w:ilvl="0">
      <w:lvl w:ilvl="0">
        <w:start w:val="1"/>
        <w:numFmt w:val="bullet"/>
        <w:lvlText w:val=""/>
        <w:legacy w:legacy="1" w:legacySpace="0" w:legacyIndent="283"/>
        <w:lvlJc w:val="left"/>
        <w:pPr>
          <w:ind w:left="2124" w:hanging="283"/>
        </w:pPr>
        <w:rPr>
          <w:rFonts w:ascii="Symbol" w:hAnsi="Symbol" w:hint="default"/>
        </w:rPr>
      </w:lvl>
    </w:lvlOverride>
  </w:num>
  <w:num w:numId="10">
    <w:abstractNumId w:val="3"/>
  </w:num>
  <w:num w:numId="11">
    <w:abstractNumId w:val="4"/>
  </w:num>
  <w:num w:numId="12">
    <w:abstractNumId w:val="13"/>
  </w:num>
  <w:num w:numId="13">
    <w:abstractNumId w:val="1"/>
  </w:num>
  <w:num w:numId="14">
    <w:abstractNumId w:val="21"/>
  </w:num>
  <w:num w:numId="15">
    <w:abstractNumId w:val="8"/>
  </w:num>
  <w:num w:numId="16">
    <w:abstractNumId w:val="19"/>
  </w:num>
  <w:num w:numId="17">
    <w:abstractNumId w:val="25"/>
  </w:num>
  <w:num w:numId="18">
    <w:abstractNumId w:val="14"/>
  </w:num>
  <w:num w:numId="19">
    <w:abstractNumId w:val="7"/>
  </w:num>
  <w:num w:numId="20">
    <w:abstractNumId w:val="5"/>
  </w:num>
  <w:num w:numId="21">
    <w:abstractNumId w:val="24"/>
  </w:num>
  <w:num w:numId="22">
    <w:abstractNumId w:val="9"/>
  </w:num>
  <w:num w:numId="23">
    <w:abstractNumId w:val="26"/>
  </w:num>
  <w:num w:numId="24">
    <w:abstractNumId w:val="22"/>
  </w:num>
  <w:num w:numId="25">
    <w:abstractNumId w:val="16"/>
  </w:num>
  <w:num w:numId="26">
    <w:abstractNumId w:val="17"/>
  </w:num>
  <w:num w:numId="27">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5222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2D1D"/>
    <w:rsid w:val="00004AE5"/>
    <w:rsid w:val="000130D7"/>
    <w:rsid w:val="00022A90"/>
    <w:rsid w:val="000450F3"/>
    <w:rsid w:val="00055D7B"/>
    <w:rsid w:val="000913DA"/>
    <w:rsid w:val="00097CE6"/>
    <w:rsid w:val="000A575E"/>
    <w:rsid w:val="000B2D09"/>
    <w:rsid w:val="000B4C86"/>
    <w:rsid w:val="000D1ED9"/>
    <w:rsid w:val="000D3EE5"/>
    <w:rsid w:val="001005BF"/>
    <w:rsid w:val="00105C89"/>
    <w:rsid w:val="0010777A"/>
    <w:rsid w:val="00120A3C"/>
    <w:rsid w:val="00121416"/>
    <w:rsid w:val="00130361"/>
    <w:rsid w:val="00143B7B"/>
    <w:rsid w:val="00151EAB"/>
    <w:rsid w:val="001529FF"/>
    <w:rsid w:val="00157449"/>
    <w:rsid w:val="00174020"/>
    <w:rsid w:val="001D38ED"/>
    <w:rsid w:val="001E1DEF"/>
    <w:rsid w:val="001E344D"/>
    <w:rsid w:val="001F779E"/>
    <w:rsid w:val="0020169C"/>
    <w:rsid w:val="00206A30"/>
    <w:rsid w:val="002644E6"/>
    <w:rsid w:val="0026735B"/>
    <w:rsid w:val="0029092A"/>
    <w:rsid w:val="002D669E"/>
    <w:rsid w:val="00302CC5"/>
    <w:rsid w:val="00311068"/>
    <w:rsid w:val="003114BD"/>
    <w:rsid w:val="003306A7"/>
    <w:rsid w:val="00340B37"/>
    <w:rsid w:val="003473C0"/>
    <w:rsid w:val="00353AA9"/>
    <w:rsid w:val="0036735B"/>
    <w:rsid w:val="00377322"/>
    <w:rsid w:val="003818D0"/>
    <w:rsid w:val="00387C73"/>
    <w:rsid w:val="003D13BD"/>
    <w:rsid w:val="003E106A"/>
    <w:rsid w:val="003E580E"/>
    <w:rsid w:val="003F2AE7"/>
    <w:rsid w:val="003F2F15"/>
    <w:rsid w:val="0042168F"/>
    <w:rsid w:val="0042242B"/>
    <w:rsid w:val="0043359D"/>
    <w:rsid w:val="00434094"/>
    <w:rsid w:val="004340B7"/>
    <w:rsid w:val="004573AC"/>
    <w:rsid w:val="00457725"/>
    <w:rsid w:val="00467BED"/>
    <w:rsid w:val="0048100A"/>
    <w:rsid w:val="004A23F5"/>
    <w:rsid w:val="004A491D"/>
    <w:rsid w:val="004E7A30"/>
    <w:rsid w:val="00550FF7"/>
    <w:rsid w:val="005653F0"/>
    <w:rsid w:val="005718FE"/>
    <w:rsid w:val="005773F6"/>
    <w:rsid w:val="00577D61"/>
    <w:rsid w:val="005A41BC"/>
    <w:rsid w:val="005A55A6"/>
    <w:rsid w:val="005C0D63"/>
    <w:rsid w:val="005C2CCB"/>
    <w:rsid w:val="005C4260"/>
    <w:rsid w:val="005E6073"/>
    <w:rsid w:val="00602565"/>
    <w:rsid w:val="00602EE8"/>
    <w:rsid w:val="00614ABF"/>
    <w:rsid w:val="00615A15"/>
    <w:rsid w:val="006432FD"/>
    <w:rsid w:val="00650C82"/>
    <w:rsid w:val="00673B9A"/>
    <w:rsid w:val="00674FD4"/>
    <w:rsid w:val="00683830"/>
    <w:rsid w:val="00684C5E"/>
    <w:rsid w:val="006B4EFC"/>
    <w:rsid w:val="006F3606"/>
    <w:rsid w:val="007226BE"/>
    <w:rsid w:val="007336ED"/>
    <w:rsid w:val="0073372E"/>
    <w:rsid w:val="00735850"/>
    <w:rsid w:val="00741284"/>
    <w:rsid w:val="0075390E"/>
    <w:rsid w:val="00754960"/>
    <w:rsid w:val="00765324"/>
    <w:rsid w:val="0076575B"/>
    <w:rsid w:val="007737E4"/>
    <w:rsid w:val="00787022"/>
    <w:rsid w:val="007B778A"/>
    <w:rsid w:val="008038DA"/>
    <w:rsid w:val="00815E57"/>
    <w:rsid w:val="008513D8"/>
    <w:rsid w:val="00875AE1"/>
    <w:rsid w:val="0088686C"/>
    <w:rsid w:val="008C118C"/>
    <w:rsid w:val="008D01E2"/>
    <w:rsid w:val="008E4150"/>
    <w:rsid w:val="008F07F4"/>
    <w:rsid w:val="008F527E"/>
    <w:rsid w:val="0093000B"/>
    <w:rsid w:val="00952D1D"/>
    <w:rsid w:val="009541C0"/>
    <w:rsid w:val="00966660"/>
    <w:rsid w:val="009673D8"/>
    <w:rsid w:val="00972BED"/>
    <w:rsid w:val="00980A59"/>
    <w:rsid w:val="009A1246"/>
    <w:rsid w:val="009B4EB7"/>
    <w:rsid w:val="009B4F17"/>
    <w:rsid w:val="009C3570"/>
    <w:rsid w:val="009F0198"/>
    <w:rsid w:val="00A15F58"/>
    <w:rsid w:val="00A53EB6"/>
    <w:rsid w:val="00A70A60"/>
    <w:rsid w:val="00A920D4"/>
    <w:rsid w:val="00A960C6"/>
    <w:rsid w:val="00AB6732"/>
    <w:rsid w:val="00AD3229"/>
    <w:rsid w:val="00AE1A1E"/>
    <w:rsid w:val="00AE5097"/>
    <w:rsid w:val="00AF34C1"/>
    <w:rsid w:val="00B26F40"/>
    <w:rsid w:val="00B375AD"/>
    <w:rsid w:val="00B572A2"/>
    <w:rsid w:val="00B657B1"/>
    <w:rsid w:val="00B734BA"/>
    <w:rsid w:val="00B809D3"/>
    <w:rsid w:val="00B9085F"/>
    <w:rsid w:val="00BB2F76"/>
    <w:rsid w:val="00BB6043"/>
    <w:rsid w:val="00BC1466"/>
    <w:rsid w:val="00BE1011"/>
    <w:rsid w:val="00C2606D"/>
    <w:rsid w:val="00C6187F"/>
    <w:rsid w:val="00C93475"/>
    <w:rsid w:val="00C934BD"/>
    <w:rsid w:val="00C94567"/>
    <w:rsid w:val="00C94F74"/>
    <w:rsid w:val="00CB5F40"/>
    <w:rsid w:val="00CB7C17"/>
    <w:rsid w:val="00CD4E8E"/>
    <w:rsid w:val="00CD5D26"/>
    <w:rsid w:val="00CE2938"/>
    <w:rsid w:val="00CE7038"/>
    <w:rsid w:val="00CF666A"/>
    <w:rsid w:val="00CF6926"/>
    <w:rsid w:val="00D1008B"/>
    <w:rsid w:val="00D42E6B"/>
    <w:rsid w:val="00D61D2C"/>
    <w:rsid w:val="00D85CED"/>
    <w:rsid w:val="00D96781"/>
    <w:rsid w:val="00D967B0"/>
    <w:rsid w:val="00DA641F"/>
    <w:rsid w:val="00DE4C4C"/>
    <w:rsid w:val="00DF2D8D"/>
    <w:rsid w:val="00DF5039"/>
    <w:rsid w:val="00E05FB7"/>
    <w:rsid w:val="00E226E7"/>
    <w:rsid w:val="00E27793"/>
    <w:rsid w:val="00E519F3"/>
    <w:rsid w:val="00E6418D"/>
    <w:rsid w:val="00E722C2"/>
    <w:rsid w:val="00E77D13"/>
    <w:rsid w:val="00E96A62"/>
    <w:rsid w:val="00EA2C94"/>
    <w:rsid w:val="00EC6D00"/>
    <w:rsid w:val="00EF2A09"/>
    <w:rsid w:val="00F219ED"/>
    <w:rsid w:val="00F27D2B"/>
    <w:rsid w:val="00F41B1E"/>
    <w:rsid w:val="00F46F6F"/>
    <w:rsid w:val="00F4728A"/>
    <w:rsid w:val="00F52869"/>
    <w:rsid w:val="00F758CB"/>
    <w:rsid w:val="00F85C3C"/>
    <w:rsid w:val="00F92047"/>
    <w:rsid w:val="00F962D7"/>
    <w:rsid w:val="00FB5A1B"/>
    <w:rsid w:val="00FB7BB4"/>
    <w:rsid w:val="00FD0719"/>
    <w:rsid w:val="00FD081D"/>
    <w:rsid w:val="00FE1B5D"/>
    <w:rsid w:val="00FE42DD"/>
    <w:rsid w:val="00FF7A70"/>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rsid w:val="00683830"/>
    <w:pPr>
      <w:tabs>
        <w:tab w:val="center" w:pos="4252"/>
        <w:tab w:val="right" w:pos="8504"/>
      </w:tabs>
    </w:pPr>
  </w:style>
  <w:style w:type="character" w:customStyle="1" w:styleId="EncabezadoCar">
    <w:name w:val="Encabezado Car"/>
    <w:basedOn w:val="Fuentedeprrafopredeter"/>
    <w:link w:val="Encabezado"/>
    <w:uiPriority w:val="99"/>
    <w:semiHidden/>
    <w:rsid w:val="00282F76"/>
    <w:rPr>
      <w:rFonts w:ascii="Arial" w:hAnsi="Arial"/>
      <w:sz w:val="24"/>
      <w:szCs w:val="20"/>
      <w:lang w:val="es-ES_tradnl"/>
    </w:rPr>
  </w:style>
  <w:style w:type="paragraph" w:styleId="Piedepgina">
    <w:name w:val="footer"/>
    <w:basedOn w:val="Normal"/>
    <w:link w:val="PiedepginaCar"/>
    <w:uiPriority w:val="99"/>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uiPriority w:val="99"/>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semiHidden/>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 w:type="table" w:styleId="Cuadrculamedia2-nfasis3">
    <w:name w:val="Medium Grid 2 Accent 3"/>
    <w:basedOn w:val="Tablanormal"/>
    <w:uiPriority w:val="68"/>
    <w:rsid w:val="009B4F17"/>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vistosa-nfasis3">
    <w:name w:val="Colorful Grid Accent 3"/>
    <w:basedOn w:val="Tablanormal"/>
    <w:uiPriority w:val="73"/>
    <w:rsid w:val="009B4F17"/>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s>
</file>

<file path=word/webSettings.xml><?xml version="1.0" encoding="utf-8"?>
<w:webSettings xmlns:r="http://schemas.openxmlformats.org/officeDocument/2006/relationships" xmlns:w="http://schemas.openxmlformats.org/wordprocessingml/2006/main">
  <w:divs>
    <w:div w:id="125720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460</TotalTime>
  <Pages>2</Pages>
  <Words>729</Words>
  <Characters>4013</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EMPRESA	</vt:lpstr>
    </vt:vector>
  </TitlesOfParts>
  <Company>Consulgesa</Company>
  <LinksUpToDate>false</LinksUpToDate>
  <CharactersWithSpaces>4733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	</dc:title>
  <dc:subject/>
  <dc:creator>consulgesa</dc:creator>
  <cp:keywords/>
  <dc:description/>
  <cp:lastModifiedBy>Usuario</cp:lastModifiedBy>
  <cp:revision>50</cp:revision>
  <cp:lastPrinted>2000-10-23T06:56:00Z</cp:lastPrinted>
  <dcterms:created xsi:type="dcterms:W3CDTF">2012-02-24T16:30:00Z</dcterms:created>
  <dcterms:modified xsi:type="dcterms:W3CDTF">2019-10-04T16:37:00Z</dcterms:modified>
</cp:coreProperties>
</file>